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آیا عرفان وتصوف یکی هستند؟</w:t>
      </w:r>
    </w:p>
    <w:p>
      <w:pPr>
        <w:pStyle w:val="VasatChinMatn"/>
      </w:pPr>
      <w:r>
        <w:rPr>
          <w:rtl w:val="0"/>
          <w:lang w:val="fa-IR"/>
        </w:rPr>
        <w:t xml:space="preserve">رابطه عرفان و تصوف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علاّمه آية اللّه حاج سيّد محمد حسين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و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اللّه سرّهما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tl w:val="0"/>
          <w:lang w:val="fa-IR"/>
        </w:rPr>
        <w:t xml:space="preserve">الحَمدُ للّه ربّ العالَمين‏</w:t>
      </w:r>
    </w:p>
    <w:p>
      <w:pPr>
        <w:pStyle w:val="VasatChinMatn"/>
      </w:pPr>
      <w:r>
        <w:rPr>
          <w:rtl w:val="0"/>
          <w:lang w:val="fa-IR"/>
        </w:rPr>
        <w:t xml:space="preserve">والصّلَاةُ علَى المَبعوثِ إلى الخَلائق أجمَعين</w:t>
      </w:r>
    </w:p>
    <w:p>
      <w:pPr>
        <w:pStyle w:val="VasatChinMatn"/>
      </w:pPr>
      <w:r>
        <w:rPr>
          <w:rtl w:val="0"/>
          <w:lang w:val="fa-IR"/>
        </w:rPr>
        <w:t xml:space="preserve">وآلِه الأوصياءِ المُنتَجَبين‏</w:t>
      </w:r>
    </w:p>
    <w:p>
      <w:pPr>
        <w:pStyle w:val="VasatChinMatn"/>
      </w:pPr>
      <w:r>
        <w:rPr>
          <w:rtl w:val="0"/>
          <w:lang w:val="fa-IR"/>
        </w:rPr>
        <w:t xml:space="preserve">ولعنَةُ اللهِ على أعدائهِم </w:t>
      </w:r>
    </w:p>
    <w:p>
      <w:pPr>
        <w:pStyle w:val="VasatChinMatn"/>
      </w:pPr>
      <w:r>
        <w:rPr>
          <w:rtl w:val="0"/>
          <w:lang w:val="fa-IR"/>
        </w:rPr>
        <w:t xml:space="preserve">مِن الأوّلين والآخرين إلى يومِ الدّين‏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1"/>
      </w:pPr>
      <w:r>
        <w:rPr>
          <w:rtl w:val="0"/>
          <w:lang w:val="fa-IR"/>
        </w:rPr>
        <w:t xml:space="preserve">اتّحاد عرفان وتصوّف در حقيقت با اينكه فرهنگ مشرق زمین قائل به تفاوت آنها</w:t>
      </w:r>
    </w:p>
    <w:p>
      <w:pPr/>
      <w:r>
        <w:rPr>
          <w:rtl w:val="0"/>
          <w:lang w:val="fa-IR"/>
        </w:rPr>
        <w:t xml:space="preserve">امروزه اصطلاح صوفى با عارف در فرهنگ مشرق زمين به خصوص فارسى زبانان متفاوت گشته است.</w:t>
      </w:r>
    </w:p>
    <w:p>
      <w:pPr/>
      <w:r>
        <w:rPr>
          <w:rtl w:val="0"/>
          <w:lang w:val="fa-IR"/>
        </w:rPr>
        <w:t xml:space="preserve">حقيقت عرفان و تصوّف يكى است، و آن ادراك شهودى ذات اقدس حق و كشف خفيّات عالم وجود با بصيرت قلبى و علم حضورى است؛ و اين مسئله از زمان رسول خدا و در طىّ استمرار ولايت اهل‏بيت عليهم‏السّلام، در ميان برخى از اصحاب خاصّ آنان چون سلمان فارسى و اويس قرنى و مقداد بن اسود و ميثم تمّار و رشيد هَجرى و حبيب بن مظاهر اسدى و جابر بن يزيد جُعفى و محمّد بن مسلم و بِشر حافى و بايزيد بسطامى و معروف كرخى و سرىّ سقطى، و پس از زمان حضور و در عصر غيبت، امثال خواجه شمس‏الدّين حافظ شيرازى و شمس مغربى و شاه نعمت‏الله ولى و أبوسعيد أبوالخير و شيخ محمود شبسترى و مولانا جلال‏الدّين محمّد بلخى و شيخ عطّار نيشابورى و محيى‏الدّين عربى و ابن‏فارض مصرى و آقا سيّد مهدى بحرالعلوم و سيّد على شوشترى و جولا و آخوند ملّاحسينقلى همدانى و شيخ محمّد بهارى و آقا سيّد احمد كربلائى و آقا سيّد جمال‏الدّين گلپايگانى و آقا سيّد على قاضى و علّامه طباطبائى و آقا سيّد حسن مسقطى و آقا سيّد هاشم حدّاد و علّامه سيّد محمّدحسين حسينى طهرانى، تا به‏حال داير و ساير بوده است. البتّه بسيارى ديگر از نخبگان معرفت و توحيد بوده‏اند، چون مرحوم آخوند ملامحمّدجعفر كبودر آهنگى و سلطان محمّد جنابذى و مرحوم انصارى همدانى و ديگران كه ذكر همه آنان از حوصله اين مقاله خارج مى‏باشد.</w:t>
      </w:r>
    </w:p>
    <w:p>
      <w:pPr/>
      <w:r>
        <w:rPr>
          <w:rtl w:val="0"/>
          <w:lang w:val="fa-IR"/>
        </w:rPr>
        <w:t xml:space="preserve">مرحوم علّامه طهرانى راجع به استاد وحيد اخلاق، آقا سيّد على قاضى چنين مى‏فرمودند:</w:t>
      </w:r>
    </w:p>
    <w:p>
      <w:pPr/>
      <w:r>
        <w:rPr>
          <w:rtl w:val="0"/>
          <w:lang w:val="fa-IR"/>
        </w:rPr>
        <w:t xml:space="preserve">مرحوم قاضى داراى دو جنبه علم و عرفان بود؛ يعنى در علوم ظاهريّه فقيهى عظيم و عالمى جليل، و در علوم باطنيّه عارفى واصل و انسانى كامل بود كه أسفار اربعه را طى نموده، و جمع‏ ميان ظاهر و باطن و شريعت و طريقت، او را بتمام‏معنى‏الكلمه به وادى حقيقت على‏التّحقيق رهبرى نموده بود.</w:t>
      </w:r>
    </w:p>
    <w:p>
      <w:pPr/>
      <w:r>
        <w:rPr>
          <w:rtl w:val="0"/>
          <w:lang w:val="fa-IR"/>
        </w:rPr>
        <w:t xml:space="preserve">به علمايى كه پيوسته به نوشتن كتب ظاهرى و بحث‏هاى بلاطائل و مفصّل اصول فقه مى‏پرداختند و بالنّتيجه دستشان از معرفت تهى مى‏ماند، خرده مى‏گرفت و در نزد شاگردان خود اين طريقه را تقبيح مى‏نمود.</w:t>
      </w:r>
    </w:p>
    <w:p>
      <w:pPr/>
      <w:r>
        <w:rPr>
          <w:rtl w:val="0"/>
          <w:lang w:val="fa-IR"/>
        </w:rPr>
        <w:t xml:space="preserve">و هم‏چنين با دراويش و متصوّفه‏اى كه به ظاهر شرع اهمّيت نمى‏دهند، سخت در معارضه و نبرد بود و مى‏فرمود:</w:t>
      </w:r>
    </w:p>
    <w:p>
      <w:pPr/>
      <w:r>
        <w:rPr>
          <w:rtl/>
          <w:lang w:val="fa-IR"/>
        </w:rPr>
        <w:t xml:space="preserve">«سلوك راه خدا با عدم اعتناى به شريعت كه نفس راه و طريق است، جمع ميان متضادّين و يا متناقضين است».</w:t>
      </w:r>
    </w:p>
    <w:p>
      <w:pPr/>
      <w:r>
        <w:rPr>
          <w:rtl w:val="0"/>
          <w:lang w:val="fa-IR"/>
        </w:rPr>
        <w:t xml:space="preserve">خودش به‏قدرى در اتيان مستحبّات و ترك مكروهات ساعى و كوشا بود كه در نجف اشرف در اين امر ضرب‏المثل بود؛ به‏طورى‏كه بعضى از معاندين و كورچشمانى كه قدرت تابش اين نور و حقيقت را نداشتند و هميشه در حوزه‏ها و بالأخص در نجف هم كم و بيش يافت مى‏شوند و لانه مى‏نمايند و تا بتوانند به‏واسطه اتّهامات مى‏خواهند چهره حقيقى عارفى جليل و انسانى وارسته را مسخ كنند، مى‏گفتند:</w:t>
      </w:r>
    </w:p>
    <w:p>
      <w:pPr/>
      <w:r>
        <w:rPr>
          <w:rtl w:val="0"/>
          <w:lang w:val="fa-IR"/>
        </w:rPr>
        <w:t xml:space="preserve">«اين درجه زهد و عبادت و التزام به مستحبّات و ترك مكروهات قاضى براى گول زدن عامّه و شبهه در طريق است، وگرنه وى يك صوفى است كه به هيچ چيز معتقد نيست و ملتزم نيست»!!</w:t>
      </w:r>
    </w:p>
    <w:p>
      <w:pPr/>
      <w:r>
        <w:rPr>
          <w:rtl w:val="0"/>
          <w:lang w:val="fa-IR"/>
        </w:rPr>
        <w:t xml:space="preserve">روزى در مجلسى عظيم كه بسيارى از مراجع و علماى فقه و حديث، از جمله مرحوم آيةالله آقا سيّد ابوالحسن اصفهانى و آقا ضياءالدّين عراقى و غيرهما بودند و كلام در ميانشان ردّ و بدل بود، مرحوم قاضى با صداى بلند به‏طورى‏كه همه بشنوند فرمودند: </w:t>
      </w:r>
      <w:r>
        <w:rPr>
          <w:rtl w:val="0"/>
          <w:lang w:val="fa-IR"/>
        </w:rPr>
        <w:t xml:space="preserve">«نِعمَ الرّجُلُ أن يكونَ فَقيهًا صوفيًّا»</w:t>
      </w:r>
      <w:r>
        <w:rPr>
          <w:rtl w:val="0"/>
          <w:lang w:val="fa-IR"/>
        </w:rPr>
        <w:t xml:space="preserve">. و اين، مانند ضرب‏المثل‏ها از كلمات مرحوم قاضى به‏جاى ماند.</w:t>
      </w:r>
    </w:p>
    <w:p>
      <w:pPr/>
      <w:r>
        <w:rPr>
          <w:rtl w:val="0"/>
          <w:lang w:val="fa-IR"/>
        </w:rPr>
        <w:t xml:space="preserve">فقيه يعنى عالم به شريعت و احكام؛ و صوفى يعنى عالم به راه‏هاى نفس أمّاره و طريق جلوگيرى از دام‏هاى شيطان، و مبارز و مجاهد با مشتهيات نفسانى براى رضاى خاطر ربِّ محمود و پروردگار منّان ذو الطَّول و الإحسان.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- انتهى كلام علّامه طهرانى.</w:t>
      </w:r>
    </w:p>
    <w:p>
      <w:pPr/>
      <w:r>
        <w:rPr>
          <w:rtl w:val="0"/>
          <w:lang w:val="fa-IR"/>
        </w:rPr>
        <w:t xml:space="preserve">مكتب و طريقت تمامى اين عرفاى بالله و اولياى الهى فقط منحصر در معرفت ذات حق به نحو شهود و ادراك قلبى است، كه با عبور از مراتب نفس و پشت پا به اعتبارات عالم دنيا و رفض جميع انانيّت‏ها و شوائب نفس امّاره و طىّ مدارج جمال و جلال و عبور از عوالم ظلمت و حجب نوريّه، به معرفت ذات پروردگار نائل آمده و در حريم قدس او مأوى گزيدند، و ديگران را به اين معرفت و شناخت دعوت كرده‏اند.</w:t>
      </w:r>
    </w:p>
    <w:p>
      <w:pPr>
        <w:pStyle w:val="She'rMatn"/>
      </w:pPr>
      <w:r>
        <w:rPr>
          <w:rtl w:val="0"/>
          <w:lang w:val="fa-IR"/>
        </w:rPr>
        <w:t xml:space="preserve">من كه ملول گشتمى از نفس فرشتگان  ***  قال و مقال عالمى مى‏كشم از براى تو</w:t>
      </w:r>
    </w:p>
    <w:p>
      <w:pPr/>
      <w:r>
        <w:rPr>
          <w:rtl w:val="0"/>
          <w:lang w:val="fa-IR"/>
        </w:rPr>
        <w:t xml:space="preserve">جايى كه رسول گرامى اسلام فرمود:</w:t>
      </w:r>
    </w:p>
    <w:p>
      <w:pPr/>
      <w:r>
        <w:rPr>
          <w:rStyle w:val="RevayatArabi"/>
          <w:rtl w:val="0"/>
          <w:lang w:val="fa-IR"/>
        </w:rPr>
        <w:t xml:space="preserve">«لي مَعَ اللهِ وَقتٌ لا يسَعُنى مَلَكٌ مُقَرَّبٌ ولا نَبيٌّ مُرسَلٌ»</w:t>
      </w:r>
      <w:r>
        <w:rPr>
          <w:rtl w:val="0"/>
          <w:lang w:val="fa-IR"/>
        </w:rPr>
        <w:t xml:space="preserve">؛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و يا هم‏چنان‏كه مرحوم آقا سيّد هاشم حدّاد مى‏فرمود: ما جايى هستيم كه جبرئيل را قدرت نزديك شدن به آن نيست، و از ادراك مرتبه وجودى ما عاجز است.</w:t>
      </w:r>
    </w:p>
    <w:p>
      <w:pPr>
        <w:pStyle w:val="She'rMatn"/>
      </w:pPr>
      <w:r>
        <w:rPr>
          <w:rtl w:val="0"/>
          <w:lang w:val="fa-IR"/>
        </w:rPr>
        <w:t xml:space="preserve">اگر ذرّه‏اى زين نمط بر پرم  ***  فروغ تجلّى بسوزد پرم</w:t>
      </w:r>
    </w:p>
    <w:p>
      <w:pPr/>
      <w:r>
        <w:rPr>
          <w:rtl w:val="0"/>
          <w:lang w:val="fa-IR"/>
        </w:rPr>
        <w:t xml:space="preserve">البتّه اين بنده در جلد دوّم كتاب اسرار ملكوت راجع به مرتبه عرفاى الهى و خصوصيّات آن و آثار آنان تا حدودى توضيح داده‏ام.</w:t>
      </w:r>
    </w:p>
    <w:p>
      <w:pPr>
        <w:pStyle w:val="Heading1"/>
      </w:pPr>
      <w:r>
        <w:rPr>
          <w:rtl w:val="0"/>
          <w:lang w:val="fa-IR"/>
        </w:rPr>
        <w:t xml:space="preserve">پيدا شدن عدّه‏اى محتال و مكّار و دنياپرست در عرصه عرفان و تصوّف‏</w:t>
      </w:r>
    </w:p>
    <w:p>
      <w:pPr/>
      <w:r>
        <w:rPr>
          <w:rtl w:val="0"/>
          <w:lang w:val="fa-IR"/>
        </w:rPr>
        <w:t xml:space="preserve">امّا برخى از اهل ريا و خدعه و مكر در زمان ائمّه عليهم ‏السّلام چون سفيان ثورى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پديد آمدند و در مقابل مكتب وحى و طهارت، مردم را به دور خود جمع نمودند و با تظاهر به گوشه‏گيرى و زهد و إعراض از دنيا، عرصه انحراف و اعوجاج را براى مردم عوام فراهم آوردند، و با لقب صوفى موجب بدنامى اين اسم و صاحبان اصلى و واقعى آنها گشتند؛ و اين مسئله در طول تاريخ هم‏چنان استمرار يافت، و هر دو دسته از اهل توحيد و شهود و افراد محتال و مكّار و دنياپرست در اين عرصه به ظهور رسيدند.</w:t>
      </w:r>
    </w:p>
    <w:p>
      <w:pPr/>
      <w:r>
        <w:rPr>
          <w:rtl w:val="0"/>
          <w:lang w:val="fa-IR"/>
        </w:rPr>
        <w:t xml:space="preserve">خواجه حافظ شيرازى از سالك وارسته و سائر سير حرم إله، به صوفى ياد مى‏نمايد:</w:t>
      </w:r>
    </w:p>
    <w:p>
      <w:pPr>
        <w:pStyle w:val="She'rMatn"/>
      </w:pPr>
      <w:r>
        <w:rPr>
          <w:rtl w:val="0"/>
          <w:lang w:val="fa-IR"/>
        </w:rPr>
        <w:t xml:space="preserve">صوفى ار باده به اندازه خورد نوشش باد *** ورنه انديشه اين كار، فراموشش باد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و يا در جاى ديگر مى‏فرمايد:</w:t>
      </w:r>
    </w:p>
    <w:p>
      <w:pPr>
        <w:pStyle w:val="She'rMatn"/>
      </w:pPr>
      <w:r>
        <w:rPr>
          <w:rtl w:val="0"/>
          <w:lang w:val="fa-IR"/>
        </w:rPr>
        <w:t xml:space="preserve">سحرگه رهروى در سرزمينى *** همى گفت اين معمّا با قرينى‏</w:t>
      </w:r>
    </w:p>
    <w:p>
      <w:pPr>
        <w:pStyle w:val="She'rMatn"/>
      </w:pPr>
      <w:r>
        <w:rPr>
          <w:rtl w:val="0"/>
          <w:lang w:val="fa-IR"/>
        </w:rPr>
        <w:t xml:space="preserve">كه اى صوفى شراب آنگه شود صاف *** كه در شيشه برآرد اربعينى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ليكن در مقابل اين افراد از اهل سير و سلوك و صلاح، به دسته ديگر از اهل نفاق و مكر و خدعه سخت مى‏تازد:</w:t>
      </w:r>
    </w:p>
    <w:p>
      <w:pPr>
        <w:pStyle w:val="She'rMatn"/>
      </w:pPr>
      <w:r>
        <w:rPr>
          <w:rtl w:val="0"/>
          <w:lang w:val="fa-IR"/>
        </w:rPr>
        <w:t xml:space="preserve">نقد صوفى نه همه صافى بى‏غش باشد *** اى بسا خرقه كه مستوجب آتش باشد</w:t>
      </w:r>
    </w:p>
    <w:p>
      <w:pPr>
        <w:pStyle w:val="She'rMatn"/>
      </w:pPr>
      <w:r>
        <w:rPr>
          <w:rtl w:val="0"/>
          <w:lang w:val="fa-IR"/>
        </w:rPr>
        <w:t xml:space="preserve">خوش بود گر محك تجربه آيد به ميان *** تا سيه روى شود هركه درو غش باشد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و نيز مى‏فرمايد:</w:t>
      </w:r>
    </w:p>
    <w:p>
      <w:pPr>
        <w:pStyle w:val="She'rMatn"/>
      </w:pPr>
      <w:r>
        <w:rPr>
          <w:rtl w:val="0"/>
          <w:lang w:val="fa-IR"/>
        </w:rPr>
        <w:t xml:space="preserve">صوفى نهاد دام و سر حقّه باز كرد *** بنياد مكر با فلك حقّه‏باز كرد</w:t>
      </w:r>
    </w:p>
    <w:p>
      <w:pPr>
        <w:pStyle w:val="She'rMatn"/>
      </w:pPr>
      <w:r>
        <w:rPr>
          <w:rtl w:val="0"/>
          <w:lang w:val="fa-IR"/>
        </w:rPr>
        <w:t xml:space="preserve">بازىّ چرخ بشكندش بيضه در كلاه *** زيرا كه عَرض شعبده با اهل راز كرد</w:t>
      </w:r>
    </w:p>
    <w:p>
      <w:pPr>
        <w:pStyle w:val="She'rMatn"/>
      </w:pPr>
      <w:r>
        <w:rPr>
          <w:rtl w:val="0"/>
          <w:lang w:val="fa-IR"/>
        </w:rPr>
        <w:t xml:space="preserve">فردا كه پيشگاه حقيقت شود پديد *** شرمنده رهروى كه عمل بر مجاز كرد</w:t>
      </w:r>
    </w:p>
    <w:p>
      <w:pPr>
        <w:pStyle w:val="She'rMatn"/>
      </w:pPr>
      <w:r>
        <w:rPr>
          <w:rtl w:val="0"/>
          <w:lang w:val="fa-IR"/>
        </w:rPr>
        <w:t xml:space="preserve">حافظ مكن ملامت رندان كه در ازل *** ما را خدا ز زهد و ريا بى‏نياز كرد</w:t>
      </w:r>
      <w:r>
        <w:rPr>
          <w:rStyle w:val="FootnoteReference"/>
        </w:rPr>
        <w:footnoteReference w:id="7"/>
      </w:r>
    </w:p>
    <w:p>
      <w:pPr/>
      <w:r>
        <w:rPr>
          <w:rtl w:val="0"/>
          <w:lang w:val="fa-IR"/>
        </w:rPr>
        <w:t xml:space="preserve">و لذا بسيارى از ارباب فن را عقيده بر آن است كه مصداق اين دو عنوان يكى است، بدين معنى كه اگر مقصود از عرفان، ادراك شهودى‏ ذات اقدس حق و فناءِ بالله و بقاءِ بالله باشد، اطلاق عارف و صوفى و درويش به فرد واجد آن، اطلاقى حقيقى و واقعى است؛ و اگر منظور صرفاً احتفاظ بر برخى از اصطلاحات و انجام پاره‏اى از اوراد و تظاهر به زهد و گوشه‏گيرى و ايراد بر علما و بزرگان از صلحاى شريعت باشد، باز بر فرد منحرف و متظاهر به اين امور، هر سه عنوان اطلاق مى‏شود.</w:t>
      </w:r>
    </w:p>
    <w:p>
      <w:pPr>
        <w:pStyle w:val="Heading1"/>
      </w:pPr>
      <w:r>
        <w:rPr>
          <w:rtl w:val="0"/>
          <w:lang w:val="fa-IR"/>
        </w:rPr>
        <w:t xml:space="preserve">اطلاق صوفى به مرحوم آخوند ملّا حسينقلى همدانى و مرحوم انصارى همدانى‏</w:t>
      </w:r>
    </w:p>
    <w:p>
      <w:pPr/>
      <w:r>
        <w:rPr>
          <w:rtl w:val="0"/>
          <w:lang w:val="fa-IR"/>
        </w:rPr>
        <w:t xml:space="preserve">نقل مى‏كنند: عدّه‏اى از معمّمين اهل ظاهر، نسبت به مرحوم آيةالله عارف كامل و مربّى اخلاق، استاد الكلّ، آخوند ملّاحسينقلى همدانى، نسبت‏هاى ناروا و زشتى روا داشتند و درصدد ايذاءِ ايشان برآمدند، و در نامه‏اى به مرحوم شربيانى - مرجع تقليد وقت - او را به عنوان صوفى خطاب نمودند. مرحوم شربيانى در پاسخ آنان فرمود:</w:t>
      </w:r>
    </w:p>
    <w:p>
      <w:pPr/>
      <w:r>
        <w:rPr>
          <w:rtl w:val="0"/>
          <w:lang w:val="fa-IR"/>
        </w:rPr>
        <w:t xml:space="preserve">«اگر صوفى آن است كه شخصيّتى مثل آخوند مصداق آن است، اى كاش خداى متعال مرا نيز از جمله صوفيّه قرار مى‏داد»</w:t>
      </w:r>
      <w:r>
        <w:rPr>
          <w:rtl w:val="0"/>
          <w:lang w:val="fa-IR"/>
        </w:rPr>
        <w:t xml:space="preserve">!</w:t>
      </w:r>
      <w:r>
        <w:rPr>
          <w:rStyle w:val="FootnoteReference"/>
        </w:rPr>
        <w:footnoteReference w:id="8"/>
      </w:r>
    </w:p>
    <w:p>
      <w:pPr/>
      <w:r>
        <w:rPr>
          <w:rtl w:val="0"/>
          <w:lang w:val="fa-IR"/>
        </w:rPr>
        <w:t xml:space="preserve">و نيز پس از فوت مرحوم آيةالله، عارف واصل، شيخ محمّدجواد انصارى همدانى، عدّه‏اى ايشان را به عنوان صوفى در مجالس و محافل معرّفى مى‏نموده، و با تهمت‏ها و نسبت‏هاى وقيحْ درصدد كوبيدن و تدمير شخصيّت علمى و روحانى اين ولىّ الهى برآمدند؛ در اين‏وقت مرحوم آيةالله آخوند ملّا على همدانى، كه جنبه مرجعيّت را نيز حائز بودند، در اعلاميّه‏اى براى اقامه مجلس ترحيم نوشتند:</w:t>
      </w:r>
    </w:p>
    <w:p>
      <w:pPr/>
      <w:r>
        <w:rPr>
          <w:rStyle w:val="RevayatArabi"/>
          <w:rtl w:val="0"/>
          <w:lang w:val="fa-IR"/>
        </w:rPr>
        <w:t xml:space="preserve">«إذا ماتَ العالِمُ ثُلِمَ فِي الإسلامِ ثُلمَةٌ لا يسُدُّها شَي‏ءٌ»</w:t>
      </w:r>
      <w:r>
        <w:rPr>
          <w:rtl w:val="0"/>
          <w:lang w:val="fa-IR"/>
        </w:rPr>
        <w:t xml:space="preserve">؛</w:t>
      </w:r>
      <w:r>
        <w:rPr>
          <w:rStyle w:val="FootnoteReference"/>
        </w:rPr>
        <w:footnoteReference w:id="9"/>
      </w:r>
    </w:p>
    <w:p>
      <w:pPr/>
      <w:r>
        <w:rPr>
          <w:rtl w:val="0"/>
          <w:lang w:val="fa-IR"/>
        </w:rPr>
        <w:t xml:space="preserve">«اگر عالمى از پويندگان طريق هدايت و مكتب راستين اهل‏بيت عصمت (آنان كه‏ در وصفشان امام جعفر صادق عليه‏السّلام فرمود: </w:t>
      </w:r>
      <w:r>
        <w:rPr>
          <w:rStyle w:val="RevayatArabi"/>
          <w:rtl w:val="0"/>
          <w:lang w:val="fa-IR"/>
        </w:rPr>
        <w:t xml:space="preserve">«أنتُم واللهِ نورٌ فى ظُلُماتِ الأرضِ»</w:t>
      </w:r>
      <w:r>
        <w:rPr>
          <w:rtl w:val="0"/>
          <w:lang w:val="fa-IR"/>
        </w:rPr>
        <w:t xml:space="preserve">!</w:t>
      </w:r>
      <w:r>
        <w:rPr>
          <w:rStyle w:val="FootnoteReference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شما قسم به خدا نور الهى و چراغ هدايتيد در تاريكى‏هاى عالم مادّه و ظلمات كثرات دنيا!") بميرد، شكافى در اسلام پديد آيد كه هيچ‏گاه ترميم و اصلاح نخواهد شد.»</w:t>
      </w:r>
    </w:p>
    <w:p>
      <w:pPr/>
      <w:r>
        <w:rPr>
          <w:rtl w:val="0"/>
          <w:lang w:val="fa-IR"/>
        </w:rPr>
        <w:t xml:space="preserve">از آنجا كه محوريّت اين مقاله بر لزوم و ضرورت سير و سلوك إلى الله است، و بيان اينكه توجّه نفس به حقايق افعال و عبادات و پيروى انسان از استاد كامل و عارف واصلْ اصل لايتغيّر و مسلّم براى ترقّى و تكامل است، لذا پرداختن به مسئله عرفان و تصوّف موجب تطويل بلاطائل و خروج از مقصد و منظور بحث خواهد بود، و بدين مقدار از توضيح در اين باب اكتفا مى‏شود. گرچه كلمات بزرگان در اين مسئله متفاوت است، امّا آنچه كه به نظر نگارنده مى‏رسد همان است كه معروض شد، و هيچ فرقى بين مصداق اين دو عنوان، چه مصداق فرد عارف كامل و سالك واصل و چه مصداق فرد متظاهر و رياكار آن نمى‏باشد.</w:t>
      </w:r>
      <w:r>
        <w:rPr>
          <w:rStyle w:val="FootnoteReference"/>
        </w:rPr>
        <w:footnoteReference w:id="10"/>
      </w:r>
    </w:p>
    <w:p>
      <w:pPr>
        <w:pStyle w:val="Heading1"/>
      </w:pPr>
      <w:r>
        <w:rPr>
          <w:rtl w:val="0"/>
          <w:lang w:val="fa-IR"/>
        </w:rPr>
        <w:t xml:space="preserve">اتحاد حقیقت تشیع و تصوف در کلمات مجلسی اول و علامه حلی رضوان الله تعالی علیهما</w:t>
      </w:r>
    </w:p>
    <w:p>
      <w:pPr/>
      <w:r>
        <w:rPr>
          <w:rtl w:val="0"/>
          <w:lang w:val="fa-IR"/>
        </w:rPr>
        <w:t xml:space="preserve">در كتاب‏ تشويق السالكين‏ كه مرحوم ملّا محمّد تقى مجلسى (ره) درباره لزوم تصوّف و سلوك نوشته است، اثبات نموده است كه: حقيقت تصوّف و تشيّع يك‏چيز است، و صوفى به معناى زاهد از دنيا و راغب به آخرت و ملتزم به تطهير باطن است، و علماى اعلام اسلام همگى صوفى بوده‏اند؛ و از جمله افرادى را كه‏ نام مى‏برد خواجه نصيرالدّين طوسى، و ورّام كندى، و سيّد رضى‏ الدّين على‏بن طاووس، و سيّد محمود آملى (صاحب كتاب نفائس الفنون)، و سيّد حيدر آملى (صاحب تفسير بحرالأبحار)، و ابن فهد حلّى، و شيخ ابن ابى‏جمهور أحسائى، و شيخ شهيد مكّى، و شيخ بهاءالدّين عاملى، و قاضى نورالله شوشترى كه از سلسله عليّه نوربخشيّه است. و در كتاب مجالس المؤمنين به دلايل قويّه اثبات مى‏كند كه جميع مشايخ مشهور شيعه بوده‏اند.</w:t>
      </w:r>
    </w:p>
    <w:p>
      <w:pPr/>
      <w:r>
        <w:rPr>
          <w:rtl w:val="0"/>
          <w:lang w:val="fa-IR"/>
        </w:rPr>
        <w:t xml:space="preserve">و علّامه حلّى در كتاب امامت از شرح تجريد گويد:</w:t>
      </w:r>
    </w:p>
    <w:p>
      <w:pPr/>
      <w:r>
        <w:rPr>
          <w:rtl w:val="0"/>
          <w:lang w:val="fa-IR"/>
        </w:rPr>
        <w:t xml:space="preserve">به تواتر منقول است كه حضرت أميرالمؤمنين عليه‏السّلام سيّد و سرور أبدال بوده‏اند، از همه اطراف عالم به خدمت آن حضرت عليه‏السّلام مى‏آمدند به جهت آموختن آداب سلوك و رياضات و طريق زهد و ترتيب احوال و ذكر مقامات عارفين.</w:t>
      </w:r>
    </w:p>
    <w:p>
      <w:pPr/>
      <w:r>
        <w:rPr>
          <w:rtl w:val="0"/>
          <w:lang w:val="fa-IR"/>
        </w:rPr>
        <w:t xml:space="preserve">و شيخ ابويزيد بسطامى فخر مى‏كرد به آنكه سقّا بود در خانه حضرت صادق عليه ‏السّلام، و شيخ معروف كرخى- قدّس سرّه العزيز- شيعه خالص و دربان حضرت رضا عليه‏السّلام بود تا از دنيا رحلت كرد.</w:t>
      </w:r>
      <w:r>
        <w:rPr>
          <w:rStyle w:val="FootnoteReference"/>
        </w:rPr>
        <w:footnoteReference w:id="11"/>
      </w:r>
    </w:p>
    <w:p>
      <w:pPr/>
      <w:r>
        <w:rPr>
          <w:rtl w:val="0"/>
          <w:lang w:val="fa-IR"/>
        </w:rPr>
        <w:t xml:space="preserve">و هم علّامه حلّى در كتاب‏ منهاج‏الكرامة در جائى‏كه مفاخرت حضرت أمير را مى‏شمارد مى‏گويد كه:</w:t>
      </w:r>
    </w:p>
    <w:p>
      <w:pPr/>
      <w:r>
        <w:rPr>
          <w:rtl w:val="0"/>
          <w:lang w:val="fa-IR"/>
        </w:rPr>
        <w:t xml:space="preserve">«علم طريقت منسوب است به حضرت أمير المؤمنين عليه ‏السّلام، و صوفيّه كلّهم نسبت فرقه [خرقه‏] خود را به آن حضرت مى‏دهند»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12"/>
      </w:r>
    </w:p>
    <w:p>
      <w:pPr>
        <w:pStyle w:val="Heading1"/>
      </w:pPr>
      <w:r>
        <w:rPr>
          <w:rtl w:val="0"/>
          <w:lang w:val="fa-IR"/>
        </w:rPr>
        <w:t xml:space="preserve">اصل تصوّف صافى نمودن باطن است از زنگ ما سوى</w:t>
      </w:r>
    </w:p>
    <w:p>
      <w:pPr/>
      <w:r>
        <w:rPr>
          <w:rtl w:val="0"/>
          <w:lang w:val="fa-IR"/>
        </w:rPr>
        <w:t xml:space="preserve">و حاصل سخن آنكه اصل تصوّف صافى نمودن باطن است از زنگ ماسوى، و متخلّق شدن به اخلاق الله، و تحصيل كمالات روحانى، و رسيدن به مقام قرب و معرفت عيانى، و متابعت تامّه از شريعت مصطفوى و طريقت مرتضوى عليهماالسّلام؛ چنان‏كه از مشايخ اين طائفه كسانى بوده‏اند كه از علوم ظاهرى نيز هر يك سرآمد زمان خود بودند، چنان‏كه از تصانيف ايشان معلوم است، مثل: مولاناى رومى، و شيخ علاء الدّوله سمنانى، و شيخ شهاب‏الدّين سهروردى صاحب‏ حكمت اشراق‏، و شيخ محيى‏الدّين عربى صاحب فتوحات، و شيخ عبد الرّزاق كاشى صاحب تأويلات، و شيخ أبوحامد غزالى، و شيخ روزبهان صاحب تفسير عرائس، و شيخ عطّار و غيرهم.</w:t>
      </w:r>
      <w:r>
        <w:rPr>
          <w:rStyle w:val="FootnoteReference"/>
        </w:rPr>
        <w:footnoteReference w:id="13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6" name="_x0000_i015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5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مطلع انوار</w:t>
      </w:r>
      <w:r>
        <w:rPr>
          <w:rtl w:val="0"/>
          <w:lang w:val="fa-IR"/>
        </w:rPr>
        <w:t xml:space="preserve">، ج 2، ص 54.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ديوان حافظ</w:t>
      </w:r>
      <w:r>
        <w:rPr>
          <w:rtl w:val="0"/>
          <w:lang w:val="fa-IR"/>
        </w:rPr>
        <w:t xml:space="preserve">، غزل 417.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روضة المتقين فى شرح من لايحضره الفقيه</w:t>
      </w:r>
      <w:r>
        <w:rPr>
          <w:rtl/>
          <w:lang w:val="fa-IR"/>
        </w:rPr>
        <w:t xml:space="preserve">، ج 2، ص 218؛ تفسير الصافى، ج 1، ص 118. اسرار ملكوت، ج 2، ص 117:  «براى من در وقت حضور در مقام عزّوجلّ حضرت حق، يك موقعيّتى است كه هيچ ملكى از ملائكه مقرّب و نه پيامبرى از مرسلين، تحمّل آن مقام را نمى‏تواند بكند».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بوستان سعدى</w:t>
      </w:r>
      <w:r>
        <w:rPr>
          <w:rtl w:val="0"/>
          <w:lang w:val="fa-IR"/>
        </w:rPr>
        <w:t xml:space="preserve">، در نيايش خداوند، فى نعت سيّد المرسلين عليه الصّلاة و السّلام:</w:t>
      </w:r>
    </w:p>
    <w:p>
      <w:pPr>
        <w:pStyle w:val="She'rPavaraghi"/>
      </w:pPr>
      <w:r>
        <w:rPr>
          <w:rtl w:val="0"/>
          <w:lang w:val="fa-IR"/>
        </w:rPr>
        <w:t xml:space="preserve">اگر يك سر مو فراتر پرم *** فروغ تجلّى بسوزد پرم‏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جهت اطّلاع بيشتر رجوع شود به </w:t>
      </w:r>
      <w:r>
        <w:rPr>
          <w:rtl w:val="0"/>
          <w:lang w:val="fa-IR"/>
        </w:rPr>
        <w:t xml:space="preserve">امام شناسى</w:t>
      </w:r>
      <w:r>
        <w:rPr>
          <w:rtl w:val="0"/>
          <w:lang w:val="fa-IR"/>
        </w:rPr>
        <w:t xml:space="preserve">، ج 5، ص 188.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ديوان حافظ</w:t>
      </w:r>
      <w:r>
        <w:rPr>
          <w:rtl w:val="0"/>
          <w:lang w:val="fa-IR"/>
        </w:rPr>
        <w:t xml:space="preserve">، غزل 167.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همان</w:t>
      </w:r>
      <w:r>
        <w:rPr>
          <w:rtl w:val="0"/>
          <w:lang w:val="fa-IR"/>
        </w:rPr>
        <w:t xml:space="preserve">، غزل 114.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مهر تابان</w:t>
      </w:r>
      <w:r>
        <w:rPr>
          <w:rtl w:val="0"/>
          <w:lang w:val="fa-IR"/>
        </w:rPr>
        <w:t xml:space="preserve">. ص 323.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المحاسن</w:t>
      </w:r>
      <w:r>
        <w:rPr>
          <w:rtl w:val="0"/>
          <w:lang w:val="fa-IR"/>
        </w:rPr>
        <w:t xml:space="preserve">، ج 1، ص 233.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</w:t>
      </w:r>
      <w:r>
        <w:rPr>
          <w:rtl w:val="0"/>
          <w:lang w:val="fa-IR"/>
        </w:rPr>
        <w:t xml:space="preserve">لكافى</w:t>
      </w:r>
      <w:r>
        <w:rPr>
          <w:rtl w:val="0"/>
          <w:lang w:val="fa-IR"/>
        </w:rPr>
        <w:t xml:space="preserve">، ج 8، ص 275.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تشويق السّالكين</w:t>
      </w:r>
      <w:r>
        <w:rPr>
          <w:rtl w:val="0"/>
          <w:lang w:val="fa-IR"/>
        </w:rPr>
        <w:t xml:space="preserve">، ص 15؛ و اصل مطلب در: كشف المراد فى شرح تجريد الإعتقاد، از طبع صيدا، ص 249 در باب شرائط امام ‏[و طبع مؤسّسة نشر الإسلامى، المسألة السابعة، ص 396، سطر 20] است و ما در ص 96 و 97 از جنگ شماره 14[</w:t>
      </w:r>
      <w:r>
        <w:rPr>
          <w:rtl w:val="0"/>
          <w:lang w:val="fa-IR"/>
        </w:rPr>
        <w:t xml:space="preserve">مطلع انوار، ج 3، ص 136 و 137</w:t>
      </w:r>
      <w:r>
        <w:rPr>
          <w:rtl w:val="0"/>
          <w:lang w:val="fa-IR"/>
        </w:rPr>
        <w:t xml:space="preserve">] آورده‏ايم.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[منهاج الكرامة</w:t>
      </w:r>
      <w:r>
        <w:rPr>
          <w:rtl/>
          <w:lang w:val="fa-IR"/>
        </w:rPr>
        <w:t xml:space="preserve">، ص 163:«وأمّا علم الطريقة فإليه منسوبٌ؛ فإنّ الصوفيةَ كلّهم يُسنِدونَ الخِرقَةَ إليه». ( محقّق)]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مطلع انوار</w:t>
      </w:r>
      <w:r>
        <w:rPr>
          <w:rtl w:val="0"/>
          <w:lang w:val="fa-IR"/>
        </w:rPr>
        <w:t xml:space="preserve">، ج ‏5، ص 37.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