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مکاشفه و شهود: حجت است یا وهم؟</w:t>
      </w:r>
    </w:p>
    <w:p>
      <w:pPr>
        <w:pStyle w:val="VasatChinMatn"/>
      </w:pPr>
      <w:r>
        <w:rPr>
          <w:rtl w:val="0"/>
          <w:lang w:val="fa-IR"/>
        </w:rPr>
        <w:t xml:space="preserve">شبهات مکتب تفکیک و پاسخ آن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آثار:</w:t>
      </w:r>
    </w:p>
    <w:p>
      <w:pPr>
        <w:pStyle w:val="VasatChinMatn"/>
      </w:pPr>
      <w:r>
        <w:rPr>
          <w:rtl w:val="0"/>
          <w:lang w:val="fa-IR"/>
        </w:rPr>
        <w:t xml:space="preserve">حضرت آیة اللّه الحاج سيّد محمد محسن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قدّس اللّه سرّه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الرّحمن الرّحیم</w:t>
      </w:r>
    </w:p>
    <w:p>
      <w:pPr>
        <w:pStyle w:val="VasatChinMatn"/>
      </w:pPr>
      <w:r>
        <w:rPr>
          <w:rtl w:val="0"/>
          <w:lang w:val="fa-IR"/>
        </w:rPr>
        <w:t xml:space="preserve">الحَمدُ للّه ربّ العالَمین</w:t>
      </w:r>
    </w:p>
    <w:p>
      <w:pPr>
        <w:pStyle w:val="VasatChinMatn"/>
      </w:pPr>
      <w:r>
        <w:rPr>
          <w:rtl w:val="0"/>
          <w:lang w:val="fa-IR"/>
        </w:rPr>
        <w:t xml:space="preserve">و الصّلَاةُ علَی المَبعوثِ إلی الخَلائق أجمَعین </w:t>
      </w:r>
    </w:p>
    <w:p>
      <w:pPr>
        <w:pStyle w:val="VasatChinMatn"/>
      </w:pPr>
      <w:r>
        <w:rPr>
          <w:rtl w:val="0"/>
          <w:lang w:val="fa-IR"/>
        </w:rPr>
        <w:t xml:space="preserve">و آلِه الأوصیاءِ المُنتَجَبین</w:t>
      </w:r>
    </w:p>
    <w:p>
      <w:pPr>
        <w:pStyle w:val="VasatChinMatn"/>
      </w:pPr>
      <w:r>
        <w:rPr>
          <w:rtl w:val="0"/>
          <w:lang w:val="fa-IR"/>
        </w:rPr>
        <w:t xml:space="preserve">و لعنَةُ اللهِ علیٰ أعدائهِم</w:t>
      </w:r>
    </w:p>
    <w:p>
      <w:pPr>
        <w:pStyle w:val="VasatChinMatn"/>
      </w:pPr>
      <w:r>
        <w:rPr>
          <w:rtl w:val="0"/>
          <w:lang w:val="fa-IR"/>
        </w:rPr>
        <w:t xml:space="preserve">مِن الأوّلین و الآخرین إلیٰ یَومِ الدّین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مقدمه گروه تحقیق</w:t>
      </w:r>
    </w:p>
    <w:p>
      <w:pPr/>
      <w:r>
        <w:rPr>
          <w:rtl w:val="0"/>
          <w:lang w:val="fa-IR"/>
        </w:rPr>
        <w:t xml:space="preserve">[با وجود تأکید فراوان از سوی علمای بزرگ و عارفان کامل بر اینکه سالک نباید به خواب‌ها و مکاشفات صوری و برزخی توجه کند، اما این بدان معنا نیست که آنان به طور کلی حجیت مکاشفات را انکار می‌کنند، بلکه حجیت مکاشفات روحانی و نورانی را برای صاحبان معرفت و شهود که تابع ضوابط و شرایطی هستند، می‌پذیرند.</w:t>
      </w:r>
    </w:p>
    <w:p>
      <w:pPr/>
      <w:r>
        <w:rPr>
          <w:rtl w:val="0"/>
          <w:lang w:val="fa-IR"/>
        </w:rPr>
        <w:t xml:space="preserve">حضرت آیت الله حاج سید محمد محسن حسینی طهرانی قدس سره این مسئله را از طریق پاسخ زیر به یکی از شبهات مکتب تفکیک در کتاب ارزشمند خود «</w:t>
      </w:r>
      <w:hyperlink r:id="rId4" w:history="1">
        <w:r>
          <w:rPr>
            <w:rStyle w:val="Hyperlink"/>
          </w:rPr>
          <w:t xml:space="preserve">حریم قدس</w:t>
        </w:r>
      </w:hyperlink>
      <w:r>
        <w:rPr>
          <w:rtl w:val="0"/>
          <w:lang w:val="fa-IR"/>
        </w:rPr>
        <w:t xml:space="preserve">» تبیین کرده‌اند. ایشان می‌فرمایند:]</w:t>
      </w:r>
    </w:p>
    <w:p>
      <w:pPr/>
      <w:r>
        <w:rPr>
          <w:rtl w:val="0"/>
          <w:lang w:val="fa-IR"/>
        </w:rPr>
        <w:t xml:space="preserve">دیگر سخن سخیف و باطل مکتب تفکیک آن است که واردات قلبیّه و مکاشفات روحانیّه و نوریّۀ اصحاب معرفت و شهود را انکار، و آن را از حیّز حجّیت و دلالت خارج نموده‌اند.</w:t>
      </w:r>
    </w:p>
    <w:p>
      <w:pPr>
        <w:pStyle w:val="Heading1"/>
      </w:pPr>
      <w:r>
        <w:rPr>
          <w:rtl w:val="0"/>
          <w:lang w:val="fa-IR"/>
        </w:rPr>
        <w:t xml:space="preserve">اولًا: دیدگاه مکتب عرفان درباره امکان وقوع مکاشفات</w:t>
      </w:r>
    </w:p>
    <w:p>
      <w:pPr>
        <w:pStyle w:val="Heading2"/>
      </w:pPr>
      <w:r>
        <w:rPr>
          <w:rtl w:val="0"/>
          <w:lang w:val="fa-IR"/>
        </w:rPr>
        <w:t xml:space="preserve">مقدمه‌ای در چگونگی خروج انسان از عالم تخیلات و اعتباریات</w:t>
      </w:r>
    </w:p>
    <w:p>
      <w:pPr/>
      <w:r>
        <w:rPr>
          <w:rtl w:val="0"/>
          <w:lang w:val="fa-IR"/>
        </w:rPr>
        <w:t xml:space="preserve">شکّی نیست که سالک در سیر تکاملی خود پیوسته از جزئیّت و کثرتْ خارج، و به سمت کلّیت و وحدت به پیش می‌رود، و به هر مقدار که حرکت او در این سیر قوی‌تر و رشد او در وصول به معانی کلّیه کامل‌تر شود، قوای متفکّره و عاقلۀ او به مراتب فعلیّت و اتقان نزدیک‌تر شده، موجب خروج او از عالم تخیّلات و توهّمات و اعتبارات می‌گردد. و هم‌‌چنان‌که این حقیقت در مثال متّصل او ـ که عالم ذهن و تصوّر است - تحقّق می‌یابد، در مثال منفصل او و نیز در مراتب عالی‌تر و راقی‌تر ـ چون ملکوت و بالاتر از آن ـ تأثیر می‌گذارد؛ بلکه به عبارتی واضح‌تر، تحوّل و تبدّل ذهن او ناشی از تغییر و تحوّلات همان عالم مثال و ملکوت او خواهد بود. و از اینجا می‌توان متوجّه شد که مرتبۀ تکاملی و وجودی هر کس به کیفیّت تفکّر و تعقّل و تصوّرها و تصدیق‌های درون ذهن و نفس او است؛ زیرا مرتبۀ ذهن و نفس به‌هیچ‌وجه از عالم مثال و ملکوتِ نفس جدا و مجزّا نمی‌باشد، بلکه نفسِ همان ملکوت و مثال، در ذهن و ضمیر او نقش می‌بندد و دوئیّت و افتراق در اینجا معنا و مفهومی ندارد.</w:t>
      </w:r>
    </w:p>
    <w:p>
      <w:pPr/>
      <w:r>
        <w:rPr>
          <w:rtl w:val="0"/>
          <w:lang w:val="fa-IR"/>
        </w:rPr>
        <w:t xml:space="preserve">و هر کس به هر مقدار که گرفتار تخیّلات و اعتبارات و کثرات باشد، به همان میزان از عالم قدسْ به دور، و از رحمت حق بیگانه خواهد بود؛ حال هرکه می‌خواهد باشد.</w:t>
      </w:r>
    </w:p>
    <w:p>
      <w:pPr>
        <w:pStyle w:val="She'rMatn"/>
      </w:pPr>
      <w:r>
        <w:rPr>
          <w:rtl w:val="0"/>
          <w:lang w:val="fa-IR"/>
        </w:rPr>
        <w:t xml:space="preserve">جان همه روز از لگدكوب خيال‏ *** وز زيان وسود وز خوف زوال‏</w:t>
      </w:r>
    </w:p>
    <w:p>
      <w:pPr>
        <w:pStyle w:val="She'rMatn"/>
      </w:pPr>
      <w:r>
        <w:rPr>
          <w:rtl w:val="0"/>
          <w:lang w:val="fa-IR"/>
        </w:rPr>
        <w:t xml:space="preserve">نى صفا مى ماندش نى لطف وفر *** نى بسوى آسمان راه سفر</w:t>
      </w:r>
    </w:p>
    <w:p>
      <w:pPr>
        <w:pStyle w:val="Heading2"/>
      </w:pPr>
      <w:r>
        <w:rPr>
          <w:rtl w:val="0"/>
          <w:lang w:val="fa-IR"/>
        </w:rPr>
        <w:t xml:space="preserve">موانع حصول مکاشفات توحیدی و تجلیات جمالی چیست؟</w:t>
      </w:r>
    </w:p>
    <w:p>
      <w:pPr/>
      <w:r>
        <w:rPr>
          <w:rtl w:val="0"/>
          <w:lang w:val="fa-IR"/>
        </w:rPr>
        <w:t xml:space="preserve">ادراک حقایق کلّیۀ عالم وجود مشروط به صفای نفس و تزکیۀ قلب و مراتب تجرّد آن می‌باشد، و بدون حصول این معانی نفس قادر به رؤیت و شهود آنها نخواهد بود؛ بلکه در عالم مثال أسفل در محدودۀ صورت برزخی ـ چه در خواب و چه در عالم مکاشفۀ صوری ـ بسر خواهد برد، و این حالت هیچ اختصاصی به مؤمن و متدیّن به ادیان الهی ندارد، بلکه حتّی غیر معتقدین به ادیان از مرتاضین و غیرهم ممکن است برایشان حاصل شود؛ و حتّی إعمال نفوذ نفسانی و تصرّفات روحی و إخبار از مغیبات و انجام امور خارق عادت تماماً در محدودۀ مثال اسفل و عالم برزخ نفسانی تحقّق پیدا می‌کند.</w:t>
      </w:r>
    </w:p>
    <w:p>
      <w:pPr/>
      <w:r>
        <w:rPr>
          <w:rtl w:val="0"/>
          <w:lang w:val="fa-IR"/>
        </w:rPr>
        <w:t xml:space="preserve">و امّا مکاشفات توحیدیّه و جذبات جمالیّه و بارقه‌های جلالیّه، که موجب انقطاع نفس از تعلّق به غیر و حتّی تعلّق به خود و ذات سالک خواهد شد، تماماً باید از عالم توحید و نور و تجرّد پدید آید؛ و تا نفس انسان با تزکیه و تهذیب و مراقبه به مرحلۀ تجرّد و انقطاع از خود نرسد، ادراک این معانی برای او ـ چه به صورت مکاشفات توحیدیّه و چه به صورت رؤیای صادقه و چه به صورت إعمال عقل فعّال در نفس عاقلۀ سالک ـ محال خواهد بود.</w:t>
      </w:r>
    </w:p>
    <w:p>
      <w:pPr/>
      <w:r>
        <w:rPr>
          <w:rtl w:val="0"/>
          <w:lang w:val="fa-IR"/>
        </w:rPr>
        <w:t xml:space="preserve">و لذا می‌بینیم که بزرگان طریق و عرفای عظیم‌الشّأن و فلاسفۀ اسلام، صرف پرداختن به علوم عقلی و فلسفی را بدون رعایت جهتِ تهذیب و مراقبۀ نفس و صعود به مراتب فعلیّت و تجرّد، کافی و وافی برای تکامل نمی‌دانند؛ چه اینکه اتیان تکالیف شرعیّه و انجام وظایف، بدون التفات به حیثیّت معنوی و باطنی آن، به اندازۀ ذرّۀ مثقالی قُرب و تعالی را برای مکلّف حاصل نخواهد کرد.</w:t>
      </w:r>
    </w:p>
    <w:p>
      <w:pPr/>
      <w:r>
        <w:rPr>
          <w:rtl w:val="0"/>
          <w:lang w:val="fa-IR"/>
        </w:rPr>
        <w:t xml:space="preserve">پرداختن به علوم الهی در صورتی قابلیّت ارشاد و فتح باب عوالم ربوبی و واسطیّت افاضه و افاده دارد که توأم با پیگیری و متابعت از مفاهیم و معانی و نتایج برهانی و نورانی آنها باشد؛ و در غیر این‌صورت هیچ دردی از انسان دوا ننموده، بلکه بیشتر موجب ابتعاد نفس از عالم تجرّد می‌گردد و نفس را در محدودۀ انانیّت و خود محوری گرفتار می‌کند، و خود حصار و زندانی برای نفس خواهد شد که در آن حصار به یافته‌های عقلانی خود، دل خوش می‌کند و در التذاذ نفسانی به‌واسطۀ همین معانی و مفاهیم گرفتار می‌شود. و این مسئله در طرز فکر و کیفیّت حرکات و سکنات و نحوۀ زندگی و ارتباطات این افراد کاملاً مشهود است.</w:t>
      </w:r>
    </w:p>
    <w:p>
      <w:pPr/>
      <w:r>
        <w:rPr>
          <w:rtl w:val="0"/>
          <w:lang w:val="fa-IR"/>
        </w:rPr>
        <w:t xml:space="preserve">افرادی که از علم و کشف، به علم‌زدگی و فلسفه‌زدگی و عرفان‌زدگی دچار گشته، راه وصول به این حقایق را به روی خود بسته‌اند، و در دام اشتغال به این مفاهیم و صرف عمر به بحث و درس و سمینار و کنفرانس و تألیف و نشر آن گرفتارند، اینها خسران‌زده‌ترین افرادند و بیچاره‌ترین؛ تنها حصّه و نصیب اینان از اشتغال به این علوم، صرف عمر گران‌بها، و از دست دادن فرصت طلایی اوقات، و به هدر دادن استعدادات و بستن روزنه‌های قلب به روی انوار جمال و جلال حضرت حق است.</w:t>
      </w:r>
    </w:p>
    <w:p>
      <w:pPr/>
      <w:r>
        <w:rPr>
          <w:rtl w:val="0"/>
          <w:lang w:val="fa-IR"/>
        </w:rPr>
        <w:t xml:space="preserve">{قُلۡ هَلۡ نُنَبِّئُكُم بِٱلۡأَخۡسَرِينَ أَعۡمَٰلًا ، ٱلَّذِينَ ضَلَّ سَعۡيُهُمۡ فِي ٱلۡحَيَوٰةِ ٱلدُّنۡيَا وَهُمۡ يَحۡسَبُونَ أَنَّهُمۡ يُحۡسِنُونَ صُنۡعًا}</w:t>
      </w:r>
      <w:r>
        <w:rPr>
          <w:rStyle w:val="FootnoteReference"/>
        </w:rPr>
        <w:footnoteReference w:id="1"/>
      </w:r>
    </w:p>
    <w:p>
      <w:pPr>
        <w:pStyle w:val="Heading2"/>
      </w:pPr>
      <w:r>
        <w:rPr>
          <w:rtl w:val="0"/>
          <w:lang w:val="fa-IR"/>
        </w:rPr>
        <w:t xml:space="preserve">مراتب عرفانی چه زمانی حاصل می‌شود؟</w:t>
      </w:r>
    </w:p>
    <w:p>
      <w:pPr/>
      <w:r>
        <w:rPr>
          <w:rtl w:val="0"/>
          <w:lang w:val="fa-IR"/>
        </w:rPr>
        <w:t xml:space="preserve">این مراتب و حتّی بالاتر از آن که برای مرحوم صدرالمتألّهین و سایر عرفای الهی حاصل گشته است، بر اثر تهذیب نفس و تجرّد روح و تربیت سلوکی و ریاضت‌های شرعی و مداومت بر اذکار و اوراد و دوری از دنیا و عالم نفس و خیال و کثرت و انعزال از مردم عوام و جهّال از علما و بی‌خردان و مخالفان سیر و سلوک إلی الله، و اشتغال به خود و اعمال و گفتار و پندار خود، و توسّل به ولایت و وساطت اهلبیت عصمت و طهارت سلام الله علیهم أجمعین حاصل شده است.</w:t>
      </w:r>
    </w:p>
    <w:p>
      <w:pPr>
        <w:pStyle w:val="Heading1"/>
      </w:pPr>
      <w:r>
        <w:rPr>
          <w:rtl w:val="0"/>
          <w:lang w:val="fa-IR"/>
        </w:rPr>
        <w:t xml:space="preserve">ثانیاً: اشکال و نقض بر انکار مکاشفات به طور مطلق</w:t>
      </w:r>
    </w:p>
    <w:p>
      <w:pPr/>
      <w:r>
        <w:rPr>
          <w:rtl w:val="0"/>
          <w:lang w:val="fa-IR"/>
        </w:rPr>
        <w:t xml:space="preserve">در مکتب بی‌اساس و پوچ تفکیک، ‌گویا هیچ مرتبه و منزلتی برای حرکت سالک و مؤمن به سوی عوالم ربوبی و انکشاف حقایق عالم وجود، وجود ندارد؛ و گویا به روایاتی که دلالت بر اختلاف صحابه و اصحاب پیامبر و ائمّۀ معصومین علیهم السّلام دارد، وقعی نباید نهاد.</w:t>
      </w:r>
    </w:p>
    <w:p>
      <w:pPr/>
      <w:r>
        <w:rPr>
          <w:rtl w:val="0"/>
          <w:lang w:val="fa-IR"/>
        </w:rPr>
        <w:t xml:space="preserve">حال این سؤال مطرح است: کلام رسول خدا که فرمود:</w:t>
      </w:r>
    </w:p>
    <w:p>
      <w:pPr/>
      <w:r>
        <w:rPr>
          <w:rStyle w:val="RevayatArabi"/>
          <w:rtl w:val="0"/>
          <w:lang w:val="fa-IR"/>
        </w:rPr>
        <w:t xml:space="preserve">«لَو عَلِمَ أبوذَرٍّ ما فی قَلبِ سَلمانَ لکَفَّرَهُ أو لقَتَلَهُ»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؛ اگر أباذر بداند که چه معانی و اسراری در قلب سلمان نهفته است، قطعاً او را تکفیر نموده یا به قتل می‌رساند.</w:t>
      </w:r>
    </w:p>
    <w:p>
      <w:pPr/>
      <w:r>
        <w:rPr>
          <w:rtl w:val="0"/>
          <w:lang w:val="fa-IR"/>
        </w:rPr>
        <w:t xml:space="preserve">چه معنا و مفهومی دارد؟ أباذر با آن مقام و منزلت والا در ایمان و مراتب قرب، چگونه است که تاب شنیدن مدرکات و مشاهدات در قلب سلمان را ندارد؟</w:t>
      </w:r>
    </w:p>
    <w:p>
      <w:pPr/>
      <w:r>
        <w:rPr>
          <w:rtl w:val="0"/>
          <w:lang w:val="fa-IR"/>
        </w:rPr>
        <w:t xml:space="preserve">و یا اصحاب دیگر ائمّه علیهم السّلام چون میثم تمّار و رشید هجری و حبیب بن مظاهر اسدی و جابر بن یزید جعفی و معروف کرخی و بشر حافی و سایر اصحاب سرّ و محرم رازهای اهلبیت عصمت، چرا با سایرین اختلاف داشتند؟ و چرا مشاهدات و مکاشفات و معانی وارده بر قلب آنان برای سایرین قابل تحمّل و قبول نبود؟ آیا ادراک این معانی و کشف این اسرار فقط و فقط منحصر در آنان بود، و امکان حصول آن برای بزرگان و اولیای الهی در عصر غیبت ممتنع و غیر ممکن بوده است؟ مگر عصر غیبت و ظهور برای امام علیه السّلام فرق می‌کند؟!</w:t>
      </w:r>
    </w:p>
    <w:p>
      <w:pPr>
        <w:pStyle w:val="Heading2"/>
      </w:pPr>
      <w:r>
        <w:rPr>
          <w:rtl w:val="0"/>
          <w:lang w:val="fa-IR"/>
        </w:rPr>
        <w:t xml:space="preserve">ثالثاً: چگونه می‌دانیم که مکاشفات عرفا مطابق با مکتب اهل بیت است؟</w:t>
      </w:r>
    </w:p>
    <w:p>
      <w:pPr/>
      <w:r>
        <w:rPr>
          <w:rtl w:val="0"/>
          <w:lang w:val="fa-IR"/>
        </w:rPr>
        <w:t xml:space="preserve">و اگر گفته شود:</w:t>
      </w:r>
      <w:r>
        <w:rPr>
          <w:rtl w:val="0"/>
          <w:lang w:val="fa-IR"/>
        </w:rPr>
        <w:t xml:space="preserve"> مطالبی را که آنان مشاهده و یا با مکاشفات معنوی ادراک می‌نموده‌اند، با مبانی و معتقدات مکتب اهلبیت منطبق بوده است، و این معنی در سایر افراد محرز نمی‌باشد. </w:t>
      </w:r>
    </w:p>
    <w:p>
      <w:pPr/>
      <w:r>
        <w:rPr>
          <w:rtl w:val="0"/>
          <w:lang w:val="fa-IR"/>
        </w:rPr>
        <w:t xml:space="preserve">پاسخ این است:</w:t>
      </w:r>
      <w:r>
        <w:rPr>
          <w:rtl w:val="0"/>
          <w:lang w:val="fa-IR"/>
        </w:rPr>
        <w:t xml:space="preserve"> چگونه از مثل عالمی عظیم‌الشأن چون سیّد ابن طاووس و یا سیّد مهدی بحرالعلوم و یا سیّد علی شوشتری که پس از ارتحال شیخ انصاری به مدّت شش ماه کرسی تدریس شیخ را به نحو احسن و افضل و اکمل اداره نمود،</w:t>
      </w:r>
      <w:r>
        <w:rPr>
          <w:rStyle w:val="FootnoteReference"/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و یا مرحوم آخوند ملاّ حسینقلی همدانی استاد اخلاق شیخ انصاری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 و مرحوم آقا سیّد احمد کربلائی، و استاد الکلّ فی الکل آیة الله سیّد علی قاضی و علاّمۀ‌ طباطبائی و علاّمۀ طهرانی که همگی اینان از فقهای عالی‌مقام و أبطال عرصۀ تحقیق و تدقیق و مشارٌ ‌بالبنان در غزارت علمی و نبوغ فکری بوده‌اند، انتظار می‌رود که مشاهدات و مکاشفاتشان بر خلاف موازین و مبانی شریعت بوده، و اینان هیچ خبری از صحّت و سقم آن به‌دست نیاورده باشند؟!!</w:t>
      </w:r>
    </w:p>
    <w:p>
      <w:pPr/>
      <w:r>
        <w:rPr>
          <w:rtl w:val="0"/>
          <w:lang w:val="fa-IR"/>
        </w:rPr>
        <w:t xml:space="preserve">چطور در مسائل فقهی استنباط یک مجتهد عادی، مورد پذیرش و قبول و حائز حجّیت می‌باشد؛ امّا علم و یقین به صحّت مدرکات و واردات قلبیّه و مکاشفات معنویّه برای این‌گونه از اعاظم فقهاء و اکابر حکماء، چون صدرالمتألّهین شیرازی و استاد او میرداماد و شیخ بهائی و غیرهم فاقد هرگونه ارزش و ملاک حجّیت است؟</w:t>
      </w:r>
    </w:p>
    <w:p>
      <w:pPr>
        <w:pStyle w:val="Heading1"/>
      </w:pPr>
      <w:r>
        <w:rPr>
          <w:rtl w:val="0"/>
          <w:lang w:val="fa-IR"/>
        </w:rPr>
        <w:t xml:space="preserve">رابعاً: ملاک حجیت شهود و مکاشفه چیست؟</w:t>
      </w:r>
    </w:p>
    <w:p>
      <w:pPr/>
      <w:r>
        <w:rPr>
          <w:rtl w:val="0"/>
          <w:lang w:val="fa-IR"/>
        </w:rPr>
        <w:t xml:space="preserve">اگر گفته شود</w:t>
      </w:r>
      <w:r>
        <w:rPr>
          <w:rtl w:val="0"/>
          <w:lang w:val="fa-IR"/>
        </w:rPr>
        <w:t xml:space="preserve">: ملاک حجّیت فتوای فقیه استناد آن به کلام معصوم علیه السّلام است؛ ولی در شهود اهل عرفان و مکاشفات اولیای الهی چنین استنادی وجود ندارد، بلکه صرفاً بر پایۀ واردات و ادراک صور و معانی مرتسمۀ در نفس است، و لذا ممکن است عاری از اشتباه نباشد، زیرا حضور صور و معانی در نفس انسان چه بسا بر پایۀ تخیّل و توهّم و خلق نفس بدون استناد و اتّکاء به اصل و مبدأ علّی آن باشد. و از این باب است که بزرگان معرفت و شهود، هر مکاشفه‌ای را مقبول ندانسته‌اند و هر ادراک صورت و معنایی را منطبق با حقیقت و واقعیّت نپنداشته‌اند.</w:t>
      </w:r>
    </w:p>
    <w:p>
      <w:pPr/>
      <w:r>
        <w:rPr>
          <w:rtl w:val="0"/>
          <w:lang w:val="fa-IR"/>
        </w:rPr>
        <w:t xml:space="preserve">پاسخ این سخن آنکه</w:t>
      </w:r>
      <w:r>
        <w:rPr>
          <w:rtl w:val="0"/>
          <w:lang w:val="fa-IR"/>
        </w:rPr>
        <w:t xml:space="preserve">: گرچه احتمال اشتباه در واردات قلبیّه برای همۀ افراد وجود دارد، لیکن انطباق آنها با مصادر وحی و مبانی تشیّع و احادیث اهلبیت علیهم السّلام و اصول مسلّمۀ حکمت متعالیه، قطعاً احتمال خطا را منتفی، و سالک در این مرتبه به کشف یقینی و اعتقاد جزمی دست خواهد یافت؛ و اگر چنانچه در بعضی موارد احتمال خطاء در شهود و اشتباه در کشف معنوی برود، از تمسّک به احتیاط نباید دریغ ‌ورزد، و همچون سلوک فقاهتی در مقام شکّ و تردید ناگزیر از توقّف در فتوا و احتیاط در عمل خواهد بود.</w:t>
      </w:r>
    </w:p>
    <w:sectPr w:rsidSect="006A46D0">
      <w:footerReference w:type="even" r:id="rId6"/>
      <w:footerReference w:type="default" r:id="rId7"/>
      <w:footerReference w:type="first" r:id="rId8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9" name="_x0000_i015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5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کهف (١٨) آیه ١٠٣ و ١٠٤. </w:t>
      </w:r>
      <w:r>
        <w:rPr>
          <w:rtl w:val="0"/>
          <w:lang w:val="fa-IR"/>
        </w:rPr>
        <w:t xml:space="preserve">الله شناسی</w:t>
      </w:r>
      <w:r>
        <w:rPr>
          <w:rtl w:val="0"/>
          <w:lang w:val="fa-IR"/>
        </w:rPr>
        <w:t xml:space="preserve">، ج ٢، ص ٣:</w:t>
      </w:r>
    </w:p>
    <w:p>
      <w:pPr>
        <w:pStyle w:val="FootnoteText"/>
      </w:pPr>
      <w:r>
        <w:rPr>
          <w:rtl w:val="0"/>
          <w:lang w:val="fa-IR"/>
        </w:rPr>
        <w:t xml:space="preserve">«بگو (ای پیامبر!) آیا من شما را آگاه بنمایم بر آن کسانی که اعمالشان زیان‌بارتر است؟! * آنان کسانی هستند که سعی و کوشش آنها در راه تحصیل زندگانی پایین‌تر و پست‌تر گم شده است، درحالی‌که خودشان می‌پندارند که از جهت کار و کردار، نیکو عمل می‌نمایند!»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الکافی</w:t>
      </w:r>
      <w:r>
        <w:rPr>
          <w:rtl w:val="0"/>
          <w:lang w:val="fa-IR"/>
        </w:rPr>
        <w:t xml:space="preserve">، ج ١، ص ٤٠١؛ الوافی، ج ١، ص ١١.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مهر تابان</w:t>
      </w:r>
      <w:r>
        <w:rPr>
          <w:rtl w:val="0"/>
          <w:lang w:val="fa-IR"/>
        </w:rPr>
        <w:t xml:space="preserve">، ص ٣٠، تعلیقه ١؛ توحید علمی و عینی، ص ١٣، تعلیقه 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hyperlink" Target="https://maktabevahy.org/Document/Book/Details/91/%D8%AD%D8%B1%DB%8C%D9%85-%D9%82%D8%AF%D8%B3" TargetMode="External" /><Relationship Id="rId5" Type="http://schemas.openxmlformats.org/officeDocument/2006/relationships/footnotes" Target="footnotes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