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رابطه برهان عقلی و شهود </w:t>
      </w:r>
    </w:p>
    <w:p>
      <w:pPr>
        <w:pStyle w:val="Title"/>
      </w:pPr>
      <w:r>
        <w:rPr>
          <w:rtl w:val="0"/>
          <w:lang w:val="fa-IR"/>
        </w:rPr>
        <w:t xml:space="preserve">در شناخت ذات خداوند متعال (1)</w:t>
      </w:r>
    </w:p>
    <w:p>
      <w:pPr>
        <w:pStyle w:val="VasatChinMatn"/>
      </w:pPr>
      <w:r>
        <w:rPr>
          <w:rtl w:val="0"/>
          <w:lang w:val="fa-IR"/>
        </w:rPr>
        <w:t xml:space="preserve">رابطه فلسفه وعرفان عملی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اهمیت تعقل واعتماد فلسفه بر آن</w:t>
      </w:r>
    </w:p>
    <w:p>
      <w:pPr/>
      <w:r>
        <w:rPr>
          <w:rtl w:val="0"/>
          <w:lang w:val="fa-IR"/>
        </w:rPr>
        <w:t xml:space="preserve">يكى از جهازهاى وجودى ما قوّه عاقله است كه تمام احكام و مسائل خود را در جميع امور بر آن اساس پايه‏گذارى مى‏كنيم، و به وسيله آن در ترتيب قياس‏هاى منطقيه براى حلّ مجهولات لا تُعَدّ و لا تُحصى استمداد مى‏جوييم.</w:t>
      </w:r>
    </w:p>
    <w:p>
      <w:pPr/>
      <w:r>
        <w:rPr>
          <w:rtl w:val="0"/>
          <w:lang w:val="fa-IR"/>
        </w:rPr>
        <w:t xml:space="preserve">مسائل فلسفيه همچون مسائل رياضى است كه بر مقدّمات و ترتيب قياساتى است كه به بديهيات منتهى مى‏شود؛ و در اين صورت انكار آن در حكم انكار ضروريات و بديهيات است. مسائل فلسفيه، مسأله را از مقدّمات خطابيه و شعريه و مغالطه و مجادله جدا مى‏كند، و آن را بر اساس برهان كه مبنى بر وجدانيات و اوّليات و ضروريات و بديهيات و غيرهاست، قرار مى‏دهد.</w:t>
      </w:r>
    </w:p>
    <w:p>
      <w:pPr>
        <w:pStyle w:val="Heading1"/>
      </w:pPr>
      <w:r>
        <w:rPr>
          <w:rtl w:val="0"/>
          <w:lang w:val="fa-IR"/>
        </w:rPr>
        <w:t xml:space="preserve">ماهيّت تعقّل ودعوت قرآن به آن </w:t>
      </w:r>
    </w:p>
    <w:p>
      <w:pPr/>
      <w:r>
        <w:rPr>
          <w:rtl w:val="0"/>
          <w:lang w:val="fa-IR"/>
        </w:rPr>
        <w:t xml:space="preserve">آيات كريمه قرآنيه ما را به تعقّل دعوت مى‏كند؛ آيا تعقّل غير از ترتيب قياسات است؟!</w:t>
      </w:r>
    </w:p>
    <w:p>
      <w:pPr/>
      <w:r>
        <w:rPr>
          <w:rtl w:val="0"/>
          <w:lang w:val="fa-IR"/>
        </w:rPr>
        <w:t xml:space="preserve">علم حكمت‏ ما را به حقايق اشياء و سرّ آفرينش، و عرفان‏ به حضرت بارى تعالى شأنه العزيز، و اسماء حسنى و صفات علياى او، و مسأله معاد و نظام تكوين و ولايت، و ربط بين ازل و ابد، و هزاران مسأله بديع و زنده جهان هستى و كاخ آفرينش آشنا مى‏سازد كه:</w:t>
      </w:r>
    </w:p>
    <w:p>
      <w:pPr/>
      <w:r>
        <w:rPr>
          <w:rtl w:val="0"/>
          <w:lang w:val="fa-IR"/>
        </w:rPr>
        <w:t xml:space="preserve">﴿وَ مَنْ يُؤْتَ الْحِكْمَةَ فَقَدْ أُوتِيَ خَيْراً كَثِيراً﴾</w:t>
      </w:r>
      <w:r>
        <w:rPr>
          <w:rtl w:val="0"/>
          <w:lang w:val="fa-IR"/>
        </w:rPr>
        <w:t xml:space="preserve">؛</w:t>
      </w:r>
      <w:r>
        <w:rPr>
          <w:rStyle w:val="FootnoteReference"/>
        </w:rPr>
        <w:footnoteReference w:id="1"/>
      </w:r>
      <w:r>
        <w:rPr>
          <w:rtl w:val="0"/>
          <w:lang w:val="fa-IR"/>
        </w:rPr>
        <w:t xml:space="preserve"> «و به آن كسى كه حكمت داده شود، خير بسيارى به او داده شده است.»</w:t>
      </w:r>
    </w:p>
    <w:p>
      <w:pPr/>
      <w:r>
        <w:rPr>
          <w:rtl w:val="0"/>
          <w:lang w:val="fa-IR"/>
        </w:rPr>
        <w:t xml:space="preserve">و درباره حضرت لقمان مى‏فرمايد:</w:t>
      </w:r>
    </w:p>
    <w:p>
      <w:pPr/>
      <w:r>
        <w:rPr>
          <w:rtl w:val="0"/>
          <w:lang w:val="fa-IR"/>
        </w:rPr>
        <w:t xml:space="preserve">﴿وَ لَقَدْ آتَيْنا لُقْمانَ الْحِكْمَةَ﴾</w:t>
      </w:r>
      <w:r>
        <w:rPr>
          <w:rtl w:val="0"/>
          <w:lang w:val="fa-IR"/>
        </w:rPr>
        <w:t xml:space="preserve">؛</w:t>
      </w:r>
      <w:r>
        <w:rPr>
          <w:rStyle w:val="FootnoteReference"/>
        </w:rPr>
        <w:footnoteReference w:id="2"/>
      </w:r>
      <w:r>
        <w:rPr>
          <w:rtl/>
          <w:lang w:val="fa-IR"/>
        </w:rPr>
        <w:t xml:space="preserve"> «و به تحقيق كه ما به لقمان، حكمت آموختيم».</w:t>
      </w:r>
    </w:p>
    <w:p>
      <w:pPr/>
      <w:r>
        <w:rPr>
          <w:rtl w:val="0"/>
          <w:lang w:val="fa-IR"/>
        </w:rPr>
        <w:t xml:space="preserve">و در بسيارى از آيات قرآن وارد شده است كه رسول اكرم صلّى الله عليه و آله و سلّم، امّت خود را تعليم حكمت مى‏دهد؛ از جمله در دو آيه 164 از سوره آل‏عمران (3) و آيه 2 از سوره الجمعة (62) وارد است كه:</w:t>
      </w:r>
    </w:p>
    <w:p>
      <w:pPr/>
      <w:r>
        <w:rPr>
          <w:rtl w:val="0"/>
          <w:lang w:val="fa-IR"/>
        </w:rPr>
        <w:t xml:space="preserve">﴿يَتْلُوا عَلَيْهِمْ آياتِهِ وَ يُزَكِّيهِمْ وَ يُعَلِّمُهُمُ الْكِتابَ وَ الْحِكْمَةَ﴾</w:t>
      </w:r>
      <w:r>
        <w:rPr>
          <w:rtl/>
          <w:lang w:val="fa-IR"/>
        </w:rPr>
        <w:t xml:space="preserve">؛ «آيات خدا را بر مردم تلاوت مى‏كند، و ايشان را تزكيه مى‏نمايد، و آنها را تعليم كتاب و آموزش حكمت مى‏دهد».</w:t>
      </w:r>
    </w:p>
    <w:p>
      <w:pPr>
        <w:pStyle w:val="Heading1"/>
      </w:pPr>
      <w:r>
        <w:rPr>
          <w:rtl w:val="0"/>
          <w:lang w:val="fa-IR"/>
        </w:rPr>
        <w:t xml:space="preserve">پی بردن به مضامین بسيارى از روايات مبتنی بر مسائل عقلى است‏</w:t>
      </w:r>
    </w:p>
    <w:p>
      <w:pPr/>
      <w:r>
        <w:rPr>
          <w:rtl w:val="0"/>
          <w:lang w:val="fa-IR"/>
        </w:rPr>
        <w:t xml:space="preserve">و نيز بسيارى از روايات ما مشحون به دقيق‏ترين مسائل عقلى است؛ و چگونه با عدم آشنايى به مسائل عقليه مى‏توان در اين بحر بى‏كران وارد شد، و حاقّ معانى وارده در آنها را در ابواب مختلفه توحيد، و فطرت، و قضاء و قدر، و أمربين‏الأمرين، و مبدأ و معاد، و حقيقت ولايت، و كيفيت ربط مخلوق به خالق و غيرها را به‏دست آورد؟</w:t>
      </w:r>
    </w:p>
    <w:p>
      <w:pPr/>
      <w:r>
        <w:rPr>
          <w:rtl w:val="0"/>
          <w:lang w:val="fa-IR"/>
        </w:rPr>
        <w:t xml:space="preserve">راويان احاديث ائمّه طاهرين سلام الله عليهم أجمعين، همه يكسان نبوده، بلكه هريك در مرتبه‏اى خاصّ و درجه‏اى مخصوص بوده‏اند. و رواياتى كه از هشام بن حكم و مؤمن‏الطّاق و نظائرهما نقل شده است، بسيار دقيق است؛ و به خوبى مى‏رساند كه آنان در علوم عقليه متضلّع، و به فنون استنباط احكام و قياسات عقليه و جدل و خطابه و برهان واقف بوده‏اند، و حضرات معصومين با آنها با لسان ديگرى بسيار دقيق و عميق حقايق را بيان مى‏فرموده‏اند.</w:t>
      </w:r>
      <w:r>
        <w:rPr>
          <w:rStyle w:val="FootnoteReference"/>
        </w:rPr>
        <w:footnoteReference w:id="3"/>
      </w:r>
      <w:r>
        <w:rPr>
          <w:rtl w:val="0"/>
          <w:lang w:val="fa-IR"/>
        </w:rPr>
        <w:t xml:space="preserve"> فهميدن اين دسته از روايات بدون خواندن فلسفه و آشنايى با علوم عقليه محال است.</w:t>
      </w:r>
      <w:r>
        <w:rPr>
          <w:rStyle w:val="FootnoteReference"/>
        </w:rPr>
        <w:footnoteReference w:id="4"/>
      </w:r>
    </w:p>
    <w:p>
      <w:pPr/>
      <w:r>
        <w:rPr>
          <w:rtl w:val="0"/>
          <w:lang w:val="fa-IR"/>
        </w:rPr>
        <w:t xml:space="preserve">در مباحث حضرت امام رضا عليه‏السّلام با صاحبان مذاهب و اديان، مطالب دقيق عقلى است كه بدون علوم عقليه، فقط به مجرّد فهميدن معانى سطحيه و ظاهريه‏اى از آن اكتفا مى‏شود و جان و روح مطلب ملموس نمى‏گردد. روايات وارده از ائمّه معصومين، غير از روايات وارده از عامّه و يا اخبار و روايات وارده در ساير اديان است كه همگى بسيط و قابل فهم عامّه مى‏باشد.</w:t>
      </w:r>
    </w:p>
    <w:p>
      <w:pPr/>
      <w:r>
        <w:rPr>
          <w:rtl w:val="0"/>
          <w:lang w:val="fa-IR"/>
        </w:rPr>
        <w:t xml:space="preserve">و بر اين اصل، تقويت فكر و تصحيح قياس، و به طور كلّى آشنايى با منطق و فلسفه لازم است؛ و قبل از رجوع به اين علوم نمى‏توان از خزائن علميه حضرات معصومين كه راهنماى وحيد مسائل توحيديه هستند، طرفى بست</w:t>
      </w:r>
      <w:r>
        <w:rPr>
          <w:rStyle w:val="FootnoteReference"/>
          <w:rtl w:val="0"/>
          <w:lang w:val="fa-IR"/>
        </w:rPr>
        <w:t xml:space="preserve">.</w:t>
      </w:r>
      <w:r>
        <w:rPr>
          <w:rStyle w:val="FootnoteReference"/>
          <w:rtl w:val="0"/>
          <w:lang w:val="fa-IR"/>
        </w:rPr>
        <w:t xml:space="preserve">و</w:t>
      </w:r>
      <w:r>
        <w:rPr>
          <w:rtl w:val="0"/>
          <w:lang w:val="fa-IR"/>
        </w:rPr>
        <w:t xml:space="preserve"> </w:t>
      </w:r>
    </w:p>
    <w:p>
      <w:pPr>
        <w:pStyle w:val="Heading1"/>
      </w:pPr>
      <w:r>
        <w:rPr>
          <w:rtl w:val="0"/>
          <w:lang w:val="fa-IR"/>
        </w:rPr>
        <w:t xml:space="preserve">تكيه كردن أنبياء وأئمّه عليهم السلام بر براهين عقلى</w:t>
      </w:r>
    </w:p>
    <w:p>
      <w:pPr/>
      <w:r>
        <w:rPr>
          <w:rtl w:val="0"/>
          <w:lang w:val="fa-IR"/>
        </w:rPr>
        <w:t xml:space="preserve">قرآن هم مى‏گويد: </w:t>
      </w:r>
      <w:r>
        <w:rPr>
          <w:rtl w:val="0"/>
          <w:lang w:val="fa-IR"/>
        </w:rPr>
        <w:t xml:space="preserve">﴿وَ جادِلْهُمْ بِالَّتِي هِيَ أَحْسَنُ﴾</w:t>
      </w:r>
      <w:r>
        <w:rPr>
          <w:rtl w:val="0"/>
          <w:lang w:val="fa-IR"/>
        </w:rPr>
        <w:t xml:space="preserve">؛</w:t>
      </w:r>
      <w:r>
        <w:rPr>
          <w:rStyle w:val="FootnoteReference"/>
        </w:rPr>
        <w:footnoteReference w:id="5"/>
      </w:r>
      <w:r>
        <w:rPr>
          <w:rtl w:val="0"/>
          <w:lang w:val="fa-IR"/>
        </w:rPr>
        <w:t xml:space="preserve"> «به طريق احسن با اين كفّار و مشركين مجادله كن!»</w:t>
      </w:r>
    </w:p>
    <w:p>
      <w:pPr/>
      <w:r>
        <w:rPr>
          <w:rtl w:val="0"/>
          <w:lang w:val="fa-IR"/>
        </w:rPr>
        <w:t xml:space="preserve">مجادله با كفّار و مشركين چيست؟ اينكه انسان از روى براهين فلسفى بيايد و آنها را ابطال كند؛ پيغمبر صلّى الله عليه و آله و سلّم و همه ائمّه اصلًا مكتبشان يك فلسفه عجيب و غريبى بود! و هركس به مكتب آنها آشنا بشود، مى‏بيند كه آنها از روى مقدّمات فلسفى، طرف را محكوم مى‏كردند.</w:t>
      </w:r>
    </w:p>
    <w:p>
      <w:pPr/>
      <w:r>
        <w:rPr>
          <w:rtl w:val="0"/>
          <w:lang w:val="fa-IR"/>
        </w:rPr>
        <w:t xml:space="preserve">حضرت صادق عليه السّلام شاگردانى داشت كه آنها را براى بحث برهانى تربيت مى‏كرد؛ حضرت امام رضا عليه‏السّلام در مباحثاتشان با علماء خارج از اسلام، روى برهان پيش مى‏آمدند، نه اينكه به آنها مى‏گفتند: بابا قلب من حكايت مى‏كند كه خدائى هست، ديگر تو چه مى‏گويى! خُب جاثليق نصرانى يا رأس الجالوت يهودى مى‏گفت: قلب شما حكايت مى‏كند براى خود شما، امّا به من چه مربوط است؟! كجا ديده شده است كه يكى از ائمّه وقتى با يكى از مشركين يا كفّار يا علماء آنها برخورد كنند، به علم وجدانىِ خود متمسّك باشند و بگويند: چون من اين‏طور درك مى‏كنم تو هم بايد قبول كنى؟ اين تحكيم است! اين زورگويى است! اين روش تبليغ نيست.</w:t>
      </w:r>
    </w:p>
    <w:p>
      <w:pPr/>
      <w:r>
        <w:rPr>
          <w:rtl w:val="0"/>
          <w:lang w:val="fa-IR"/>
        </w:rPr>
        <w:t xml:space="preserve">ائمّه عليهم السّلام از روى برهان اثبات مى‏كنند، حضرت امام جعفر صادق عليه‏السّلام از روى استدلالات منطقى و برهانى و مقدّمات مسلّم براى طبيعيّون اثبات توحيد مى‏كند، تا آنجا كه ابن ابى العوجاء مى‏گويد: «من در مكتب اين مرد خاضعم و خاشعم و نمى‏توانم لب از لب بگشايم و يك قدم جلو بروم!»</w:t>
      </w:r>
    </w:p>
    <w:p>
      <w:pPr/>
      <w:r>
        <w:rPr>
          <w:rtl w:val="0"/>
          <w:lang w:val="fa-IR"/>
        </w:rPr>
        <w:t xml:space="preserve">البتّه اين مكتب لازم است، تمام علماى اسلام بايد به برهان قوىّ و به منطق قوىّ، و به اين علم به حدّ اعلى و اكمل مسلّح باشند تا بتوانند شبهات مُبدِعين و ضالّين و منكرين و ماديّين و طبيعيّين و ساير فِرَقى كه هست، آنها را باطل كنند؛ امّا صحبت‏ در اين است كه: آيا اين مكتب كافى است يا نه؟ انسان با اين مكتب مى‏تواند آن‏طورى كه بايد و شايد خدا را بشناسد؟ صفاتش را بشناسد؟ اسمائش را بشناسد يا نه؟</w:t>
      </w:r>
    </w:p>
    <w:p>
      <w:pPr/>
      <w:r>
        <w:rPr>
          <w:rtl w:val="0"/>
          <w:lang w:val="fa-IR"/>
        </w:rPr>
        <w:t xml:space="preserve">يعنى اگر نظر انسان در مقام عبوديّت خدا نبود، عبادت هم انجام نداد، يك شخصى بود فرض كنيد شُرب خمر هم مى‏كرد، قمار هم مى‏كرد، خارج از مذهب اسلام هم بود ولى روى مكتب و روى برهان فلسفى اثبات مى‏كند خدا هست،- ظاهراً يكى از دانشمندان انگليسى است، موحّد بود، قائل به توحيد بود. جان ماريون دانشمند فرانسوى هم قائل به توحيد بود، كتابى نوشته به نام خدا در طبيعت، به پنج دليل از اصول مسلّمه علوم مادّى اثبات خدا را مى‏كند كه خدا هست- أمّا واقعاً اين مقدار كافى است يا نه؟ اينها را انسان بايد به مرحله عبوديّت در بياورد، و خدا را آن‏طورى‏كه بايد و شايد نشان دهد، و ربط انسان را نسبت به خدا برقرار كند. فقط بحث در اين است كه اين مكتب كافى نيست!</w:t>
      </w:r>
      <w:r>
        <w:rPr>
          <w:rStyle w:val="FootnoteReference"/>
        </w:rPr>
        <w:footnoteReference w:id="6"/>
      </w:r>
    </w:p>
    <w:p>
      <w:pPr>
        <w:pStyle w:val="Heading1"/>
      </w:pPr>
      <w:r>
        <w:rPr>
          <w:rtl w:val="0"/>
          <w:lang w:val="fa-IR"/>
        </w:rPr>
        <w:t xml:space="preserve">محدودیتهای برهان عقلی </w:t>
      </w:r>
    </w:p>
    <w:p>
      <w:pPr/>
      <w:r>
        <w:rPr>
          <w:rtl w:val="0"/>
          <w:lang w:val="fa-IR"/>
        </w:rPr>
        <w:t xml:space="preserve">بعضى مى‏گويند: انسان بايستى برود و در موجودات تفكّر كند و روى براهين، مقدّماتى بچيند و خلاصه خدا را پيدا كند؛ اين مكتب، مكتب‏ ادراك‏ است. مقدّماتِ معلومه ضروريّه را انسان برمى‏دارد با همديگر تركيب مى‏كند، اين نتيجه مى‏دهد؛ از آن نتيجه انسان مى‏تواند خدا را به دست بياورد.</w:t>
      </w:r>
    </w:p>
    <w:p>
      <w:pPr/>
      <w:r>
        <w:rPr>
          <w:rtl w:val="0"/>
          <w:lang w:val="fa-IR"/>
        </w:rPr>
        <w:t xml:space="preserve">مثلًا مى‏گوييم كه: اين عالم موجود است و اين عالم به ذات خود موجود نيست، حادث است، هر موجودى كه به ذات خود قديم نباشد، حادث است ديگر؛ بنابراين: اين عالم هم كه يكى از افراد اين كبراى كلّى و قضيّه كلّى است، حادث است. حادث، مُحدِث مى‏خواهد، ايجاد كننده مى‏خواهد، پس يك خدائى بايد باشد كه اين عالم را ايجاد كرده باشد.</w:t>
      </w:r>
    </w:p>
    <w:p>
      <w:pPr/>
      <w:r>
        <w:rPr>
          <w:rtl w:val="0"/>
          <w:lang w:val="fa-IR"/>
        </w:rPr>
        <w:t xml:space="preserve">اين كتاب يك موجودى است، اوراقش منظّماً دوخته شده و يك جلد سبز رنگى روى آن قرارگرفته، به همين شكلى كه شما مى‏بينيد. اين خود به خود به وجود نيامده، اوراق خود به خود پيدا نشدند كه خودشان پهلوى همديگر اينجا بچسبند، بعد يك سوزنى هم پيدا بشود خود به خود با يك نخى اين ورق‏ها را بدوزد، بعد يك مقوّايى هم بيايد خودش اينجا بچسبد و سريش هم رويش، مُشمّع هم رويش و به همين شكل و به همين اندازه، و اين ورق‏ها هم صفحه يك و دو و پنجاه، شصتش، به ترتيب خودش ... اين نحو! از اين ما پى مى‏بريم كه يك صحّافى بوده و اين اوراق را برداشته اين‏طور درست كرده و جلدى رويش كشيده؟!</w:t>
      </w:r>
    </w:p>
    <w:p>
      <w:pPr/>
      <w:r>
        <w:rPr>
          <w:rtl w:val="0"/>
          <w:lang w:val="fa-IR"/>
        </w:rPr>
        <w:t xml:space="preserve">از ممكنات ما پى مى‏بريم به واجب، و از معلول پى مى‏بريم به علّت، و از مقدّمات معلومه پى مى‏بريم به مجهولات، و خدا براى ما مستور است؛ ما اين‏قدر از اين برهان‏هاى فلسفى با مقدّمات صحيح بايد ترتيب بدهيم تا آن مجهول را به دست بياوريم، و اين‏قدر آن مجهول صاف و روشن باشد كه تمام شبهات را جلوگيرى كند، و هركس بخواهد در آن خدائى كه ما با اين مقدّمات ترتيب داديم و صفات و اسماء و خصوصيّاتش را ثابت كرديم شبهه كند، اين برهان ما آن‏قدر قوى باشد كه جواب‏گوى همه آن شبهات باشد.</w:t>
      </w:r>
    </w:p>
    <w:p>
      <w:pPr/>
      <w:r>
        <w:rPr>
          <w:rtl w:val="0"/>
          <w:lang w:val="fa-IR"/>
        </w:rPr>
        <w:t xml:space="preserve">اين مكتب، مكتب‏ فكر است. مكتب پسنديده‏اى هم هست چون هر كدام از ما داراى فكرى هستيم و اين فكر را خدا به ما داده، با اين فكر ما بايد مجهولات را به دست بياوريم. مجهول از كجا به دست مى‏آيد؟ از دو مقدّمه معلوم يا چند مقدمه معلوم در صورتى كه بين آنها رابطه خاصّى باشد، مجهول به دست مى‏آيد.</w:t>
      </w:r>
    </w:p>
    <w:p>
      <w:pPr/>
      <w:r>
        <w:rPr>
          <w:rtl w:val="0"/>
          <w:lang w:val="fa-IR"/>
        </w:rPr>
        <w:t xml:space="preserve">وليكن آيا اين كافى است براى رسيدن به خود خدا و درك خدا و معرفت خدا يا كافى نيست؟ اصلًا بحث در اينجاست كه آيا علوم فلسفى كافى است يا كافى نيست؟ كسى نمى‏تواند منكر علم فلسفه و حكمت بشود و بگويد اين علم اصلًا به كلّى مقدّماتش غلط است.</w:t>
      </w:r>
      <w:r>
        <w:rPr>
          <w:rStyle w:val="FootnoteReference"/>
        </w:rPr>
        <w:footnoteReference w:id="7"/>
      </w:r>
    </w:p>
    <w:p>
      <w:pPr>
        <w:pStyle w:val="Heading1"/>
      </w:pPr>
      <w:r>
        <w:rPr>
          <w:rtl w:val="0"/>
          <w:lang w:val="fa-IR"/>
        </w:rPr>
        <w:t xml:space="preserve">علاوه بر برهان عقلی تكيه كردن أنبيا وأئمّه عليهم السلام بر وجدان وقلب وشهود </w:t>
      </w:r>
    </w:p>
    <w:p>
      <w:pPr/>
      <w:r>
        <w:rPr>
          <w:rtl w:val="0"/>
          <w:lang w:val="fa-IR"/>
        </w:rPr>
        <w:t xml:space="preserve">يك مكتب هست از اين عالى‏تر و والاتر، و آن مكتب مى‏گويد كه: مكتب فلسفه باطل نيست، امّا جايش ذهن است، جايش مغز است و انسان خدا را با اين مكتب از دور مى‏شناسد. روى زمين مى‏نشيند با يك تلسكوپ مى‏خواهد خورشيد را ببيند و امواج خورشيد را ببيند و أملاحى كه در خورشيد هست ببيند، مى‏بيند امّا بين زمين و خورشيد فاصله است! و اين مكتب اصلًا مكتب تفكّر است، موطنش موطن ذهن است.</w:t>
      </w:r>
      <w:r>
        <w:rPr>
          <w:rStyle w:val="FootnoteReference"/>
        </w:rPr>
        <w:footnoteReference w:id="8"/>
      </w:r>
    </w:p>
    <w:p>
      <w:pPr/>
      <w:r>
        <w:rPr>
          <w:rtl w:val="0"/>
          <w:lang w:val="fa-IR"/>
        </w:rPr>
        <w:t xml:space="preserve">آن مكتبى كه انبياء و اولياء و ائمّه رفته‏اند، يك مكتبى است از اين مكتب عالى‏تر! آن مكتب، مكتب وجدان است. آن مكتب مى‏گويد: بالاتر از ذهن و قواى مفكّره، انسان يك حسّ ديگرى دارد، [اسمش را] حسّ پنجم بگذاريد، ششم بگذاريد، دهم بگذاريد، من نمى دانم، يك حسّ ديگرى دارد، يك وجدان ديگرى دارد كه او را دل مى‏گويند، او را ضمير مى‏گويند، او را قلب مى‏گويند، او را وجدان مى‏گويند، او را سرّ مى‏گويند، هرچه مى‏گويند، انسان يك حسّ ديگرى دارد. انسان بايد با آن حسّ، خدا را درك كند! آن حسّ در همه افراد بشر هست و قوى هم هست، وليكن ابتلاء به ماديّات، آرزوها، خيالات، توجّه به كثرات، حجاب‏هائى شده و تاريكش كرده، آن حسّ را ضعيف كرده و خفه كرده، و لذا بشر از آن حسّش بهره‏بردارى نمى‏كند.</w:t>
      </w:r>
    </w:p>
    <w:p>
      <w:pPr/>
      <w:r>
        <w:rPr>
          <w:rtl w:val="0"/>
          <w:lang w:val="fa-IR"/>
        </w:rPr>
        <w:t xml:space="preserve">هر پيغمبرى كه آمده اوّل گفته: «توجّه به خدا و اطاعت از من» </w:t>
      </w:r>
      <w:r>
        <w:rPr>
          <w:rtl w:val="0"/>
          <w:lang w:val="fa-IR"/>
        </w:rPr>
        <w:t xml:space="preserve">﴿فَاتَّقُوا اللَّهَ وَ أَطِيعُونِ﴾</w:t>
      </w:r>
      <w:r>
        <w:rPr>
          <w:rtl w:val="0"/>
          <w:lang w:val="fa-IR"/>
        </w:rPr>
        <w:t xml:space="preserve">.</w:t>
      </w:r>
      <w:r>
        <w:rPr>
          <w:rStyle w:val="FootnoteReference"/>
        </w:rPr>
        <w:footnoteReference w:id="9"/>
      </w:r>
      <w:r>
        <w:rPr>
          <w:rtl w:val="0"/>
          <w:lang w:val="fa-IR"/>
        </w:rPr>
        <w:t xml:space="preserve"> اگر كسى در راه عبوديّت وارد شد راهش اين است كه از من بايد اطاعت كند. در سوره «شعراء» ملاحظه كنيد: در پنج مورد از لسان پنج پيغمبر، خداوند علىّ أعلى بيان مى‏كند كه آمدند به قومشان گفتند: </w:t>
      </w:r>
      <w:r>
        <w:rPr>
          <w:rtl w:val="0"/>
          <w:lang w:val="fa-IR"/>
        </w:rPr>
        <w:t xml:space="preserve">﴿فَاتَّقُوا اللَّهَ وَ أَطِيعُونِ﴾</w:t>
      </w:r>
      <w:r>
        <w:rPr>
          <w:rtl w:val="0"/>
          <w:lang w:val="fa-IR"/>
        </w:rPr>
        <w:t xml:space="preserve"> «بايد از خدا بپرهيزيد و از من اطاعت كنيد!» آن‏وقت هر كارى گفتم بايد بكنيد تا آن حِسّ تو باز بشود! نماز بخوانيد، روزه بگيريد، صدقه بدهيد، امر به معروف كنيد، در مشكلات پافشارى كنيد، نهى از منكر بكنيد، جهاد بكنيد، حجّ انجام بدهيد، چه كنيد، چه كنيد ... در شب‏هاى سرد زمستان بايد برويد نماز بخوانيد، روزهاى گرم تابستان بايد روزه بگيريد.</w:t>
      </w:r>
    </w:p>
    <w:p>
      <w:pPr/>
      <w:r>
        <w:rPr>
          <w:rtl w:val="0"/>
          <w:lang w:val="fa-IR"/>
        </w:rPr>
        <w:t xml:space="preserve">راه اين است ديگر! راه مجاهده با نفس است براى رضاى خدا، تا آن حجابِ وجدان، آن پرده‏اى كه روى آن حسّ را گرفته كم كم ضعيف بشود، وقتى ضعيف بشود آن چراغى كه خداوند علىّ أعلى در دل قرار داده، نورش ظاهر مى‏شود.</w:t>
      </w:r>
    </w:p>
    <w:p>
      <w:pPr/>
      <w:r>
        <w:rPr>
          <w:rtl w:val="0"/>
          <w:lang w:val="fa-IR"/>
        </w:rPr>
        <w:t xml:space="preserve">خدا به همه از اين وجدان‏ها داده، به همه از اين چراغ‏ها داده، گفته: شما خليفةُ الله‏ايد! شما انسانيد! قابليّتى كه به شما داده‏ام به هيچ موجودى نداده‏ام، و شما را مرتبط با خودم خلق كرده‏ام، و اين قابليّت را داده‏ام كه چشم را باز كنيد و بياييد در حرم من احوال‏پرسى كنيد. و اين مكتب انبياء است؛ و اين مكتب، مكتب لقاء خداست؛ و اين مكتب، مكتب عرفان است.</w:t>
      </w:r>
    </w:p>
    <w:p>
      <w:pPr/>
      <w:r>
        <w:rPr>
          <w:rtl w:val="0"/>
          <w:lang w:val="fa-IR"/>
        </w:rPr>
        <w:t xml:space="preserve">انسان تا به زيارت خدا نرسد و به ذكر خدا نرسد قلب او آرام نمى‏گيرد، و آرامش او منحصر است در ارتباط قلبى او با خدا.</w:t>
      </w:r>
      <w:r>
        <w:rPr>
          <w:rStyle w:val="FootnoteReference"/>
        </w:rPr>
        <w:footnoteReference w:id="1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1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البقرة( 2) قسمتى از آيه 269.</w:t>
      </w:r>
    </w:p>
  </w:footnote>
  <w:footnote w:id="2">
    <w:p>
      <w:pPr>
        <w:pStyle w:val="FootnoteText"/>
      </w:pPr>
      <w:r>
        <w:rPr>
          <w:rStyle w:val="FootnoteReference"/>
        </w:rPr>
        <w:footnoteRef/>
      </w:r>
      <w:r>
        <w:t xml:space="preserve"> </w:t>
      </w:r>
      <w:r>
        <w:rPr>
          <w:rtl w:val="0"/>
          <w:lang w:val="fa-IR"/>
        </w:rPr>
        <w:t xml:space="preserve"> سوره لقمان( 31) صدر آيه 12.</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ملكوت قرآن</w:t>
      </w:r>
      <w:r>
        <w:rPr>
          <w:rtl w:val="0"/>
          <w:lang w:val="fa-IR"/>
        </w:rPr>
        <w:t xml:space="preserve">، ج 2، ص 227.</w:t>
      </w:r>
    </w:p>
  </w:footnote>
  <w:footnote w:id="4">
    <w:p>
      <w:pPr>
        <w:pStyle w:val="FootnoteText"/>
      </w:pPr>
      <w:r>
        <w:rPr>
          <w:rStyle w:val="FootnoteReference"/>
        </w:rPr>
        <w:footnoteRef/>
      </w:r>
      <w:r>
        <w:t xml:space="preserve"> </w:t>
      </w:r>
      <w:r>
        <w:rPr>
          <w:rtl w:val="0"/>
          <w:lang w:val="fa-IR"/>
        </w:rPr>
        <w:t xml:space="preserve"> جهت اطّلاع بيشتر پيرامون عدم جواز در يك سطح قرار دادن روايات و عدم بى‏نيازى از علوم عقليه در فهم قرآن و احاديث رجوع شود به </w:t>
      </w:r>
      <w:r>
        <w:rPr>
          <w:rtl w:val="0"/>
          <w:lang w:val="fa-IR"/>
        </w:rPr>
        <w:t xml:space="preserve">امام شناسى</w:t>
      </w:r>
      <w:r>
        <w:rPr>
          <w:rtl w:val="0"/>
          <w:lang w:val="fa-IR"/>
        </w:rPr>
        <w:t xml:space="preserve">، ج 5، ص 108 و 185 الى 190؛ </w:t>
      </w:r>
      <w:r>
        <w:rPr>
          <w:rtl w:val="0"/>
          <w:lang w:val="fa-IR"/>
        </w:rPr>
        <w:t xml:space="preserve">ولايت فقيه در حكومت اسلام</w:t>
      </w:r>
      <w:r>
        <w:rPr>
          <w:rtl w:val="0"/>
          <w:lang w:val="fa-IR"/>
        </w:rPr>
        <w:t xml:space="preserve">، ج 3، ص 43.( محقّق)</w:t>
      </w:r>
    </w:p>
  </w:footnote>
  <w:footnote w:id="5">
    <w:p>
      <w:pPr>
        <w:pStyle w:val="FootnoteText"/>
      </w:pPr>
      <w:r>
        <w:rPr>
          <w:rStyle w:val="FootnoteReference"/>
        </w:rPr>
        <w:footnoteRef/>
      </w:r>
      <w:r>
        <w:t xml:space="preserve"> </w:t>
      </w:r>
      <w:r>
        <w:rPr>
          <w:rtl w:val="0"/>
          <w:lang w:val="fa-IR"/>
        </w:rPr>
        <w:t xml:space="preserve"> سوره النّحل( 16) قسمتى از آيه 125.</w:t>
      </w:r>
    </w:p>
  </w:footnote>
  <w:footnote w:id="6">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88ـ 89.</w:t>
      </w:r>
    </w:p>
  </w:footnote>
  <w:footnote w:id="7">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84 ـ 86.</w:t>
      </w:r>
    </w:p>
  </w:footnote>
  <w:footnote w:id="8">
    <w:p>
      <w:pPr>
        <w:pStyle w:val="FootnoteText"/>
      </w:pPr>
      <w:r>
        <w:rPr>
          <w:rStyle w:val="FootnoteReference"/>
        </w:rPr>
        <w:footnoteRef/>
      </w:r>
      <w:r>
        <w:t xml:space="preserve"> </w:t>
      </w:r>
      <w:r>
        <w:rPr>
          <w:rtl w:val="0"/>
          <w:lang w:val="fa-IR"/>
        </w:rPr>
        <w:t xml:space="preserve"> همان، تفسير آيه نور </w:t>
      </w:r>
      <w:r>
        <w:rPr>
          <w:rtl w:val="0"/>
          <w:lang w:val="fa-IR"/>
        </w:rPr>
        <w:t xml:space="preserve">﴿الله نور السموت و الارض﴾</w:t>
      </w:r>
      <w:r>
        <w:rPr>
          <w:rtl w:val="0"/>
          <w:lang w:val="fa-IR"/>
        </w:rPr>
        <w:t xml:space="preserve">، ص 87 ـ 88.</w:t>
      </w:r>
    </w:p>
  </w:footnote>
  <w:footnote w:id="9">
    <w:p>
      <w:pPr>
        <w:pStyle w:val="FootnoteText"/>
      </w:pPr>
      <w:r>
        <w:rPr>
          <w:rStyle w:val="FootnoteReference"/>
        </w:rPr>
        <w:footnoteRef/>
      </w:r>
      <w:r>
        <w:t xml:space="preserve"> </w:t>
      </w:r>
      <w:r>
        <w:rPr>
          <w:rtl w:val="0"/>
          <w:lang w:val="fa-IR"/>
        </w:rPr>
        <w:t xml:space="preserve"> سوره الشّعراء( 26) آيات 108، 110، 126، 131، 144، 150، 163، 179.</w:t>
      </w:r>
    </w:p>
  </w:footnote>
  <w:footnote w:id="10">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98ـ 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