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حق و باطل و تفاوت های آنها (1)</w:t>
      </w:r>
    </w:p>
    <w:p>
      <w:pPr>
        <w:pStyle w:val="VasatChinMatn"/>
      </w:pPr>
      <w:r>
        <w:rPr>
          <w:rtl w:val="0"/>
          <w:lang w:val="fa-IR"/>
        </w:rPr>
        <w:t xml:space="preserve">هدف در مکتب عرفان</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قالَ اللَّهُ الْحَكيمُ فى كِتابِهِ الْكَريم:</w:t>
      </w:r>
    </w:p>
    <w:p>
      <w:pPr/>
      <w:r>
        <w:rPr>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1"/>
      </w:r>
    </w:p>
    <w:p>
      <w:pPr/>
      <w:r>
        <w:rPr>
          <w:rtl w:val="0"/>
          <w:lang w:val="fa-IR"/>
        </w:rPr>
        <w:t xml:space="preserve">«بگو - اى پيغمبر - كه اينست و غیر از اين نيست كه من بشرى مى‏باشم همانند شما كه به من وحى كرده مى‏شود كه: فقط معبود شما معبود واحد است! پس هر كس اميد ديدار و لقاى پروردگارش را داشته باشد، بايد حتماً كار نيكو انجام دهد و هيچ كس را با پروردگارش انباز و همتا قرار ندهد.»</w:t>
      </w:r>
      <w:r>
        <w:rPr>
          <w:rStyle w:val="FootnoteReference"/>
        </w:rPr>
        <w:footnoteReference w:id="2"/>
      </w:r>
    </w:p>
    <w:p>
      <w:pPr/>
      <w:r>
        <w:rPr>
          <w:rtl w:val="0"/>
          <w:lang w:val="fa-IR"/>
        </w:rPr>
        <w:t xml:space="preserve">اميرالمؤمنين عليه‏السّلام در در جواب سؤال ذعلب يمانى كه گفت: «اى اميرالمؤمنين! آيا تا به حال خدايت را ديده‏اى؟» فرمود:</w:t>
      </w:r>
    </w:p>
    <w:p>
      <w:pPr/>
      <w:r>
        <w:rPr>
          <w:rtl w:val="0"/>
          <w:lang w:val="fa-IR"/>
        </w:rPr>
        <w:t xml:space="preserve">«لا تُدرِكُهُ العُيونُ بمُشاهَدة العِيان، ولكن تُدركهُ القلوبُ بحقائق الإيمان. قريبٌ مِن الأشياءِ غيرُ مُلابِسٍ، بعيدٌ منها غيرُ مُباينٍ، مُتكَلِّم لا بِرَويّةٍ، مُريدٌ لابِهمّةٍ، صانعٌ لا بِجارحةٍ، لَطيفٌ لا يوصَفُ بالخَفاء، كبيرٌ لا يوصف بالجَفاءِ، بَصيرٌ لا يوصفُ بالحاسّةِ، رحيمٌ لا يوصف بالرِّقّةِ. تَعنو الوُجوهُ لِعَظَمتِه و تَجلُ القلوبُ مِن مَخافتِه»</w:t>
      </w:r>
      <w:r>
        <w:rPr>
          <w:rStyle w:val="FootnoteReference"/>
        </w:rPr>
        <w:footnoteReference w:id="3"/>
      </w:r>
      <w:r>
        <w:rPr>
          <w:rtl w:val="0"/>
          <w:lang w:val="fa-IR"/>
        </w:rPr>
        <w:t xml:space="preserve">؛ حضرت حقّ متعال ذاتى است كه ديدگان با ديد ظاهرى خود آن را نمى‏نگرند، وليكن چشم باطن و رؤيت قلوب قادر است به‌واسطۀ حقيقت ايمان او را بنگرد. او ذاتى است كه با همۀ اشياء قريب است امّا نه قرب مكانى، و از همه اشياء دور است امّا نه بعد و دورى جدايى، سخن مى‏گويد امّا نه به طريق متعارف بشرى، اراده مى‏كند نه از روى شوق و ميل و اهتمام به وصول به مقصد، مى‏آفريند نه با اعضاء و جوارح مادّى، لطيف است امّا نه آن لطفى كه از ديدگان مخفى باشد، بزرگ است ولى در عظمت به حدودِ غير تجاوز و تعدّى نمى‏كند، بيناست امّا نه با حواسّ ظاهرى، رحمت و عطوفت دارد ولى نه از روى رقّت قلب و غلبه احساس و دلسوزى. تمامى چهره‏ها در قبال عظمت او به خاك مى‏افتد، و همه دل‏ها از ترس و خوف او به وحشت و اضطراب در مى‏آيد.</w:t>
      </w:r>
      <w:r>
        <w:rPr>
          <w:rStyle w:val="FootnoteReference"/>
        </w:rPr>
        <w:footnoteReference w:id="4"/>
      </w:r>
    </w:p>
    <w:p>
      <w:pPr>
        <w:pStyle w:val="Heading1"/>
      </w:pPr>
      <w:r>
        <w:rPr>
          <w:rtl w:val="0"/>
          <w:lang w:val="fa-IR"/>
        </w:rPr>
        <w:t xml:space="preserve">عرفان نیازِ فطری بشر</w:t>
      </w:r>
    </w:p>
    <w:p>
      <w:pPr/>
      <w:r>
        <w:rPr>
          <w:rtl w:val="0"/>
          <w:lang w:val="fa-IR"/>
        </w:rPr>
        <w:t xml:space="preserve">حسّ دین دوستی و گرایش به عوالم غیب و کشف اسرار ماوراء طبیعت جزءِ غرائز افراد بشر است؛</w:t>
      </w:r>
      <w:r>
        <w:rPr>
          <w:rStyle w:val="FootnoteReference"/>
        </w:rPr>
        <w:footnoteReference w:id="5"/>
      </w:r>
      <w:r>
        <w:rPr>
          <w:rtl w:val="0"/>
          <w:lang w:val="fa-IR"/>
        </w:rPr>
        <w:t xml:space="preserve"> و می‌توان این غریزه را ناشی از جاذبۀ حضرت ربّ وَدود دانست که عالم امکان، بالأخصّ انسان اشرف را به مقام اطلاق و نامتناهی خود می‌کشد. انسان در کمون ذات و سرشت خود حرکت به‌سوی این کعبۀ مقصود و قبلۀ معبود را می‌یابد و به نیروی غریزی و فطری الهی بار سفر می‌بندد و با تمام شراشر وجود بدین صوب رهسپار می‌شود.</w:t>
      </w:r>
      <w:r>
        <w:rPr>
          <w:rStyle w:val="FootnoteReference"/>
        </w:rPr>
        <w:footnoteReference w:id="6"/>
      </w:r>
    </w:p>
    <w:p>
      <w:pPr/>
      <w:r>
        <w:rPr>
          <w:rtl w:val="0"/>
          <w:lang w:val="fa-IR"/>
        </w:rPr>
        <w:t xml:space="preserve">خدای متعال با ودیعۀ صفات و غرائز ارزشمند و معنوی در فطرت انسان، راه او را به‌سوی حقیقت و متابعت از حق و پیروی از منطق عقل در هر حادثه و موقعیّتی گشوده است، و جستجوی معرفت و حسّ یافتن کمال و وصول به عالم قدس و سکونت و اطمینان را در جَبِلّت</w:t>
      </w:r>
      <w:r>
        <w:rPr>
          <w:rStyle w:val="FootnoteReference"/>
        </w:rPr>
        <w:footnoteReference w:id="7"/>
      </w:r>
      <w:r>
        <w:rPr>
          <w:rtl w:val="0"/>
          <w:lang w:val="fa-IR"/>
        </w:rPr>
        <w:t xml:space="preserve"> و سرشت او قرار داده است؛ و هیچ عاملی را یارای آن نیست که بتواند با وسوسه و وسائل مختلف او را از پیروی عقل و فطرت باز دارد و این مسیر معرفت و تکامل را بر او مسدود نماید و او را از فیوضات و الطاف الهی محروم نماید. و اگر به‌واسطۀ القای شبهات، چند صباحی دچار وسوسۀ نفس و انحراف در سیر گردیده باشد، روزی خواهد رسید که با نوای ملکوتی وجدان و فطرت از خواب غفلت بیدار شود و پرده از چهرۀ وسوسه‌انگیزان بردارد، و راه به‌سوی حقیقت و عرفان الهی را با چشم باز و همّتی عالی و ثباتی متین بپیماید.</w:t>
      </w:r>
      <w:r>
        <w:rPr>
          <w:rStyle w:val="FootnoteReference"/>
        </w:rPr>
        <w:footnoteReference w:id="8"/>
      </w:r>
    </w:p>
    <w:p>
      <w:pPr>
        <w:pStyle w:val="Heading1"/>
      </w:pPr>
      <w:r>
        <w:rPr>
          <w:rtl w:val="0"/>
          <w:lang w:val="fa-IR"/>
        </w:rPr>
        <w:t xml:space="preserve">هدف در مکتب عرفان</w:t>
      </w:r>
    </w:p>
    <w:p>
      <w:pPr/>
      <w:r>
        <w:rPr>
          <w:rtl w:val="0"/>
          <w:lang w:val="fa-IR"/>
        </w:rPr>
        <w:t xml:space="preserve">در راه عرفان مقصد فقط لقای خدا و فناء در ذات خدا و عرفان خدا است.</w:t>
      </w:r>
      <w:r>
        <w:rPr>
          <w:rStyle w:val="FootnoteReference"/>
        </w:rPr>
        <w:footnoteReference w:id="9"/>
      </w:r>
    </w:p>
    <w:p>
      <w:pPr/>
      <w:r>
        <w:rPr>
          <w:rtl w:val="0"/>
          <w:lang w:val="fa-IR"/>
        </w:rPr>
        <w:t xml:space="preserve">مرحوم آیت الله حاج سیّد احمد کربلائی قدّس سره می‌فرمایند:</w:t>
      </w:r>
    </w:p>
    <w:p>
      <w:pPr/>
      <w:r>
        <w:rPr>
          <w:rtl w:val="0"/>
          <w:lang w:val="fa-IR"/>
        </w:rPr>
        <w:t xml:space="preserve">«پوشیده نباد بر طالب حق جلّ وعلا که علاوه بر اینکه سائر اشیاء و موجودات غیر از حضرت حق جلّ و علا در معرض فنا و زوال است و لهذا شایسته مطلوبیت نیست . ممکن بما هو ممکن را هیچ موجودی نافع و مفید نیست جز حضرت حقّ جلّ و علا چه هر آنچه فرض کنی غیر او، چون ممکن است، محتاج است من جمیع الجهات به حضرت او جلّ و علا …. و لهذا هیچ موجودی غیر از او نه در زمین و نه در آسمان و نه در دنیا و نه در آخرت شایستگی مطلوبیّت را برای شخص عاقل و دانا ندارد جز حضرت او جلّ و علا … لهذا شایسته برای عاقل چنانست که صرفِ نظر و همّت طلب از جمیع اشیاء غیر از او نموده و به مقتضای «قل الله ثمّ ذرهم» همّت طلب را منحصر در او نموده و او را بذاته و بنفسه [مخاطب] قرار داده، بگوید:</w:t>
      </w:r>
    </w:p>
    <w:p>
      <w:pPr>
        <w:pStyle w:val="She'rMatn"/>
      </w:pPr>
      <w:r>
        <w:rPr>
          <w:rtl w:val="0"/>
          <w:lang w:val="fa-IR"/>
        </w:rPr>
        <w:t xml:space="preserve">ما از تو نداریم به غیر از تو تمنّا *** حلوا به کسی ده که محبت نچشیده»</w:t>
      </w:r>
      <w:r>
        <w:rPr>
          <w:rStyle w:val="FootnoteReference"/>
        </w:rPr>
        <w:footnoteReference w:id="10"/>
      </w:r>
    </w:p>
    <w:p>
      <w:pPr>
        <w:pStyle w:val="Heading1"/>
      </w:pPr>
      <w:r>
        <w:rPr>
          <w:rtl w:val="0"/>
          <w:lang w:val="fa-IR"/>
        </w:rPr>
        <w:t xml:space="preserve">گرایشات مختلف در مقابل مکتب عرفان</w:t>
      </w:r>
    </w:p>
    <w:p>
      <w:pP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 [اما] بزرگان عرفان و اهل توحید، توجّه سالک را جز به خدای متعال موجب خسران او و به هدر دادن سرمایۀ عمر و تعویض جوهر نایاب وصل، به سنگ‌های بی‌ارزش و پست می‌شمرند.</w:t>
      </w:r>
      <w:r>
        <w:rPr>
          <w:rStyle w:val="FootnoteReference"/>
        </w:rPr>
        <w:footnoteReference w:id="11"/>
      </w:r>
    </w:p>
    <w:p>
      <w:pPr/>
      <w:r>
        <w:rPr>
          <w:rtl w:val="0"/>
          <w:lang w:val="fa-IR"/>
        </w:rPr>
        <w:t xml:space="preserve">تمام افرادی که در عالم، اراده سیر و سلوک به‌سوی خدا و مبدا هستی را دارند، و در سیر و سلوک راه اخلاص و تقرّب را نمی‌پیمایند و در نیتشان پاک نیستند چه مسلمان و چه غیر مسلمان، از یهود و نصاری و مجوس و تابع بودا و کُنفُسیوس، و مسلمان هم چه شیعه و یا غیر شیعه از اصناف و انواع مذاهب حادثه در اسلام بلکه به‌جهت دواعی نفسانیّه وارد در سلوک می‌شوند. این گروه ابداً به مقصود نمی‌رسند، و در طیّ راه به کشف و کرامتی و یا تقویت نفس و تأثیر در موادّ کائنات و یا إخبار از ضمائر و بواطن و یا تحصیل کیمیا و امثالها قناعت می‌ورزند، و بالأخره دفنشان در همین مراحل مختلفه هر کدام برحسب خودش می‌باشد.</w:t>
      </w:r>
      <w:r>
        <w:rPr>
          <w:rStyle w:val="FootnoteReference"/>
        </w:rPr>
        <w:footnoteReference w:id="12"/>
      </w:r>
    </w:p>
    <w:p>
      <w:pPr>
        <w:pStyle w:val="Heading1"/>
      </w:pPr>
      <w:r>
        <w:rPr>
          <w:rtl w:val="0"/>
          <w:lang w:val="fa-IR"/>
        </w:rPr>
        <w:t xml:space="preserve">معنای لقاء خدا و فنای در ذات او</w:t>
      </w:r>
    </w:p>
    <w:p>
      <w:pPr/>
      <w:r>
        <w:rPr>
          <w:rtl w:val="0"/>
          <w:lang w:val="fa-IR"/>
        </w:rPr>
        <w:t xml:space="preserve">راه لقاء خدا این نیست که انسان خدا را ببیند یا تصوّر کند یا صورتش را در ذهن بیاورد؛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w:t>
      </w:r>
      <w:r>
        <w:rPr>
          <w:rStyle w:val="FootnoteReference"/>
        </w:rPr>
        <w:footnoteReference w:id="13"/>
      </w:r>
    </w:p>
    <w:p>
      <w:pPr/>
      <w:r>
        <w:rPr>
          <w:rtl w:val="0"/>
          <w:lang w:val="fa-IR"/>
        </w:rPr>
        <w:t xml:space="preserve">همه باید بدانند که مراد از لفظ وصول و لقاء و عرفان ذات احدی، یک نحو معانی‌ای نیست که مستلزم دوئیّت و بینونت باشد. مراد از معرفت و مشاهده و لقاء و امثالها، همگی اندکاک و مقام فنای مطلق است؛ به سبب آنکه خداست فقط که به خود معرفت دارد و معرفت غیر او به او مستحیل است.</w:t>
      </w:r>
    </w:p>
    <w:p>
      <w:pPr/>
      <w:r>
        <w:rPr>
          <w:rtl w:val="0"/>
          <w:lang w:val="fa-IR"/>
        </w:rPr>
        <w:t xml:space="preserve">افرادی که به فنای مطلق نرسیده‌اند، او را نشناخته‌اند؛ چراکه محدود، غیر محدود را نمی‌شناسد. و افرادی که به فنای مطلق رسیده‌اند، وجودی ندارند تا او را بشناسند؛ وجود، یک وجود بیش نیست، و آن وجود حق است جَلّ و عَلا. اوست که خودش را می‌شناسد. او اوّلاً خود را شناخته بود، و اینک هم خود را می‌شناسد؛ وَ الآن کَمَا کان.</w:t>
      </w:r>
    </w:p>
    <w:p>
      <w:pPr/>
      <w:r>
        <w:rPr>
          <w:rtl w:val="0"/>
          <w:lang w:val="fa-IR"/>
        </w:rPr>
        <w:t xml:space="preserve">نهایت سیر هر موجودی، فنای در موجود برتر و بالاتر از خود است. یعنی فنای هر ظهوری در مُظهِر خود، و هر معلولی در علّت خود. و نهایت سیر انسان کامل که همۀ قوا و استعدادهای خود را به فعلیّت رسانیده است، فنای در ذات احدیت است، و فنای در ذات الله است، و فنای در هُوَ است، و فنای در ما لا اسْمَ لَهُ و لا رَسْمَ لَهُ می‌باشد.</w:t>
      </w:r>
    </w:p>
    <w:p>
      <w:pPr/>
      <w:r>
        <w:rPr>
          <w:rtl w:val="0"/>
          <w:lang w:val="fa-IR"/>
        </w:rPr>
        <w:t xml:space="preserve">این است غایت سیر هر موجودی، و غایت سیر متصوَّر در انسان کامل، و غایت سیر انبیاء و مرسلین و ائمه طیّبین صلواتُ الله و سلامُه علیهم اجمعین، و منظور و مراد صحیح از معرفت و نتیجه سلوک و سیر به‌سوی مقام مقدّس او جلَّ شأنُه، و سیر عملی عرفانی، و بحثهای علمی عرفاءِ بالله عَلَتْ أسْماؤُهُم؛ نه چیز دیگر.</w:t>
      </w:r>
      <w:r>
        <w:rPr>
          <w:rStyle w:val="FootnoteReference"/>
        </w:rPr>
        <w:footnoteReference w:id="14"/>
      </w:r>
    </w:p>
    <w:p>
      <w:pPr>
        <w:pStyle w:val="Heading1"/>
      </w:pPr>
      <w:r>
        <w:rPr>
          <w:rtl w:val="0"/>
          <w:lang w:val="fa-IR"/>
        </w:rPr>
        <w:t xml:space="preserve">معرفت نفس طریق معرفة الله</w:t>
      </w:r>
    </w:p>
    <w:p>
      <w:pPr/>
      <w:r>
        <w:rPr>
          <w:rtl w:val="0"/>
          <w:lang w:val="fa-IR"/>
        </w:rPr>
        <w:t xml:space="preserve">مسلک عرفانی استاد (علامه طباطبائی)، مسلک استاد بی‌عدیلشان مرحوم آیةالحق سیّدالعارفین حاج میرزا علی آقای قاضی؛ و ایشان در روش تربیت، مسلک استادشان آقای آقا سید احمد کربلایی طهرانی؛ و ایشان نیز مسلک استاد خود مرحوم آیةالحق آخوند ملاّ حسینقلی دَرجَزینی همدانی ـ رضوان الله علیهم اجمعین ـ را داشته‌اند که همان معرفت نفس بوده است، که ملازم با معرفت ربّ بوده، و بر این اصل روایات بسیاری دلالت دارد.</w:t>
      </w:r>
      <w:r>
        <w:rPr>
          <w:rStyle w:val="FootnoteReference"/>
        </w:rPr>
        <w:footnoteReference w:id="15"/>
      </w:r>
    </w:p>
    <w:p>
      <w:pPr/>
      <w:r>
        <w:rPr>
          <w:rtl w:val="0"/>
          <w:lang w:val="fa-IR"/>
        </w:rPr>
        <w:t xml:space="preserve">معرفتِ به نفس یعنی: خداوند علیّ أعلیٰ به ذاتِ انسان متّصل است و وجود انسان مندکّ و فانی در ذات پروردگار است. اگر انسان ذات خودش را به‌نحو اندکاک و فنا پیدا کند و به هستی خودش برسد که نیستی محض است، این نیستیِ محض در هستی محضِ پروردگار مندکّ شده، آن‌وقت به مقام هستی پروردگار می‌رسد و فنای در ذات پروردگار پیدا می‌کند.</w:t>
      </w:r>
      <w:r>
        <w:rPr>
          <w:rStyle w:val="FootnoteReference"/>
        </w:rPr>
        <w:footnoteReference w:id="16"/>
      </w:r>
    </w:p>
    <w:p>
      <w:pPr/>
      <w:r>
        <w:rPr>
          <w:rtl w:val="0"/>
          <w:lang w:val="fa-IR"/>
        </w:rPr>
        <w:t xml:space="preserve">مرحوم آیت الله حاج سید احمد کربلائی قدّس سرّه می‌فرمایند :</w:t>
      </w:r>
    </w:p>
    <w:p>
      <w:pPr/>
      <w:r>
        <w:rPr>
          <w:rtl w:val="0"/>
          <w:lang w:val="fa-IR"/>
        </w:rPr>
        <w:t xml:space="preserve">«جان من به لب آمد از گفتن اینکه راه نجات و خلاص در استغراق ذکر الهی و تفکر در معرفت نفس و خودشناسی است . ذکر و فکر خود رهنمای تو خواهد شد . یا من اسمه دواء و ذکره شفاء</w:t>
      </w:r>
    </w:p>
    <w:p>
      <w:pPr>
        <w:pStyle w:val="She'rMatn"/>
      </w:pPr>
      <w:r>
        <w:rPr>
          <w:rtl w:val="0"/>
          <w:lang w:val="fa-IR"/>
        </w:rPr>
        <w:t xml:space="preserve">دواؤک فیک و لا تبصر *** و داؤک منک و لا تشعر</w:t>
      </w:r>
    </w:p>
    <w:p>
      <w:pPr>
        <w:pStyle w:val="She'rMatn"/>
      </w:pPr>
      <w:r>
        <w:rPr>
          <w:rtl/>
          <w:lang w:val="fa-IR"/>
        </w:rPr>
        <w:t xml:space="preserve">... *** تو خودحجاب خودی حافظ از میان برخیز».</w:t>
      </w:r>
      <w:r>
        <w:rPr>
          <w:rStyle w:val="FootnoteReference"/>
        </w:rPr>
        <w:footnoteReference w:id="17"/>
      </w:r>
    </w:p>
    <w:p>
      <w:pPr/>
      <w:r>
        <w:rPr>
          <w:rtl w:val="0"/>
          <w:lang w:val="fa-IR"/>
        </w:rPr>
        <w:t xml:space="preserve">و این مسئله از زمان رسول خدا و در طیّ استمرار ولایت اهل‌بیت علیهم السّلام، در میان برخی از اصحاب خاصّ آنان چون سلمان فارسی و اویس قرنی و مقداد بن اسود و میثم تمّار و رشید هَجری و حبیب بن مظاهر اسدی و جابر بن یزید جُعفی و محمد بن مسلم و بِشر حافی و بایزید بسطامی و معروف کرخی و سریّ سقطی، و پس از زمان حضور و در عصر غیبت، امثال خواجه شمس‌الدّین حافظ شیرازی و شمس مغربی و شاه نعمت‌اللَه ولی و أبوسعید أبوالخیر و شیخ محمود شبستری و مولانا جلال‌الدّین محمد بلخی و شیخ عطّار نیشابوری و محیی‌الدّین عربی و ابن‌فارض مصری و آقا سید مهدی بحرالعلوم و سید علی شوشتری و جولا و آخوند ملاّ حسینقلی همدانی و شیخ محمد بهاری و آقا سید احمد کربلائی و آقا سید جمال‌الدّین گلپایگانی و آقا سید علی قاضی و علامۀ طباطبائی و آقا سید حسن مسقطی و آقا سید هاشم حدّاد و علامه سید محمّدحسین حسینی طهرانی، تا به‌حال دائر و سایر بوده است.</w:t>
      </w:r>
      <w:r>
        <w:rPr>
          <w:rStyle w:val="FootnoteReference"/>
        </w:rPr>
        <w:footnoteReference w:id="18"/>
      </w:r>
    </w:p>
    <w:p>
      <w:pPr>
        <w:pStyle w:val="Heading1"/>
      </w:pPr>
      <w:r>
        <w:rPr>
          <w:rtl w:val="0"/>
          <w:lang w:val="fa-IR"/>
        </w:rPr>
        <w:t xml:space="preserve">تحریف معنای عرفان در استعمال امروزی</w:t>
      </w:r>
    </w:p>
    <w:p>
      <w:pP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 خود قرار دارد دست یابد، مانند خوابی که فردی می‌بیند و حوادثی برای او منکشف می‌شود؛ و چه‌بسا وصول به این مطالب از طریق غیر صحیح و خلاف رضای الهی صورت پذیرد. و چه بسیارند افرادی که به هیچ شریعت از شرایع الهی 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r>
        <w:rPr>
          <w:rStyle w:val="FootnoteReference"/>
        </w:rPr>
        <w:footnoteReference w:id="19"/>
      </w:r>
    </w:p>
    <w:p>
      <w:pPr/>
      <w:r>
        <w:rPr>
          <w:rtl w:val="0"/>
          <w:lang w:val="fa-IR"/>
        </w:rPr>
        <w:t xml:space="preserve">بنابراین باید بسیار دقّت نمود که مقصود و منظور مکاتب مختلفۀ دنیا در دعوت به‌سمت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p>
    <w:p>
      <w:pPr/>
      <w:r>
        <w:rPr>
          <w:rtl w:val="0"/>
          <w:lang w:val="fa-IR"/>
        </w:rPr>
        <w:t xml:space="preserve">نکتۀ قابل دقّت اینجاست که نفس بشر به‌نحو عموم، به‌واسطۀ تعلّق به عالم طبع و ابتعاد از عوالم معنا، هم‌چنان‌که لذّات و مشتهیات نفسانی را در تحصیل مادّیات و امور دنیوی اعمّ از مأکولات و مشروبات و البسه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من‌باب‌مثال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r>
        <w:rPr>
          <w:rStyle w:val="FootnoteReference"/>
        </w:rPr>
        <w:footnoteReference w:id="20"/>
      </w:r>
    </w:p>
    <w:p>
      <w:pP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به‌سوی حقیقت وجود معطوف نماید، چاره‌ای جز بروز و ظهور پاره‌ای از این امور ندارد.</w:t>
      </w:r>
    </w:p>
    <w:p>
      <w:pPr>
        <w:pStyle w:val="Heading1"/>
      </w:pPr>
      <w:r>
        <w:rPr>
          <w:rtl w:val="0"/>
          <w:lang w:val="fa-IR"/>
        </w:rPr>
        <w:t xml:space="preserve">اختلاف مراتب اولیای الهی</w:t>
      </w:r>
    </w:p>
    <w:p>
      <w:pP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انبیاء الهی بر این محور و مقصد استوار بوده است، اما نه‌اینکه مقصد و غایت رسالت پیامبران و حجج الهی رسیدن به این نقطه و هدف بوده باشد.</w:t>
      </w:r>
    </w:p>
    <w:p>
      <w:pPr/>
      <w:r>
        <w:rPr>
          <w:rtl w:val="0"/>
          <w:lang w:val="fa-IR"/>
        </w:rPr>
        <w:t xml:space="preserve">از اینجاست که میزان تکامل و فعلیّت مراتب وجودی عرفای الهی به مقدار ظهور و صدور خوارق عادات بستگی خواهد داشت.</w:t>
      </w:r>
    </w:p>
    <w:p>
      <w:pPr/>
      <w:r>
        <w:rPr>
          <w:rtl w:val="0"/>
          <w:lang w:val="fa-IR"/>
        </w:rPr>
        <w:t xml:space="preserve">مرحوم علامۀ طهرانی</w:t>
      </w:r>
      <w:r>
        <w:rPr>
          <w:rtl w:val="0"/>
          <w:lang w:val="fa-IR"/>
        </w:rPr>
        <w:t xml:space="preserve"> ـ قدّس الله سرّه ـ بارها می‌فرمودند:</w:t>
      </w:r>
    </w:p>
    <w:p>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r>
        <w:rPr>
          <w:rtl w:val="0"/>
          <w:lang w:val="fa-IR"/>
        </w:rPr>
        <w:t xml:space="preserve">و لذا برای حرکت دادن مردم به‌سوی این هدف عالی، کمتر از این امور برای آنان آشکار می‌نمایند تا ذهن و نفس آنان به این مسائل خو نگیرد و در دام حواسّ باطنی و صور برزخی گرفتار نگردند.</w:t>
      </w:r>
    </w:p>
    <w:p>
      <w:pP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r>
        <w:rPr>
          <w:rStyle w:val="FootnoteReference"/>
        </w:rPr>
        <w:footnoteReference w:id="21"/>
      </w:r>
    </w:p>
    <w:p>
      <w:pPr/>
      <w:r>
        <w:rPr>
          <w:rtl w:val="0"/>
          <w:lang w:val="fa-IR"/>
        </w:rPr>
        <w:t xml:space="preserve">منابع:</w:t>
      </w:r>
    </w:p>
    <w:p>
      <w:pPr/>
      <w:r>
        <w:rPr>
          <w:rtl w:val="0"/>
          <w:lang w:val="fa-IR"/>
        </w:rPr>
        <w:t xml:space="preserve">1.</w:t>
      </w:r>
      <w:r>
        <w:rPr>
          <w:rtl w:val="0"/>
          <w:lang w:val="fa-IR"/>
        </w:rPr>
        <w:t xml:space="preserve">رساله لب اللباب</w:t>
      </w:r>
      <w:r>
        <w:rPr>
          <w:rtl w:val="0"/>
          <w:lang w:val="fa-IR"/>
        </w:rPr>
        <w:t xml:space="preserve">، </w:t>
      </w:r>
      <w:r>
        <w:rPr>
          <w:rtl w:val="0"/>
          <w:lang w:val="fa-IR"/>
        </w:rPr>
        <w:t xml:space="preserve">آئین رستگاری</w:t>
      </w:r>
      <w:r>
        <w:rPr>
          <w:rtl w:val="0"/>
          <w:lang w:val="fa-IR"/>
        </w:rPr>
        <w:t xml:space="preserve">، </w:t>
      </w:r>
      <w:r>
        <w:rPr>
          <w:rtl w:val="0"/>
          <w:lang w:val="fa-IR"/>
        </w:rPr>
        <w:t xml:space="preserve">روح مجرد</w:t>
      </w:r>
      <w:r>
        <w:rPr>
          <w:rtl w:val="0"/>
          <w:lang w:val="fa-IR"/>
        </w:rPr>
        <w:t xml:space="preserve">، </w:t>
      </w:r>
      <w:r>
        <w:rPr>
          <w:rtl w:val="0"/>
          <w:lang w:val="fa-IR"/>
        </w:rPr>
        <w:t xml:space="preserve">مهر تابناک</w:t>
      </w:r>
      <w:r>
        <w:rPr>
          <w:rtl w:val="0"/>
          <w:lang w:val="fa-IR"/>
        </w:rPr>
        <w:t xml:space="preserve">، </w:t>
      </w:r>
      <w:r>
        <w:rPr>
          <w:rtl w:val="0"/>
          <w:lang w:val="fa-IR"/>
        </w:rPr>
        <w:t xml:space="preserve">تفسیر آیه نور</w:t>
      </w:r>
      <w:r>
        <w:rPr>
          <w:rtl w:val="0"/>
          <w:lang w:val="fa-IR"/>
        </w:rPr>
        <w:t xml:space="preserve">، حضرت </w:t>
      </w:r>
      <w:r>
        <w:rPr>
          <w:rtl w:val="0"/>
          <w:lang w:val="fa-IR"/>
        </w:rPr>
        <w:t xml:space="preserve">علامه آیت الله حاج سید محمد حسین حسینی طهرانی</w:t>
      </w:r>
      <w:r>
        <w:rPr>
          <w:rtl w:val="0"/>
          <w:lang w:val="fa-IR"/>
        </w:rPr>
        <w:t xml:space="preserve">. قدس سره</w:t>
      </w:r>
    </w:p>
    <w:p>
      <w:pPr/>
      <w:r>
        <w:rPr>
          <w:rtl w:val="0"/>
          <w:lang w:val="fa-IR"/>
        </w:rPr>
        <w:t xml:space="preserve">2.</w:t>
      </w:r>
      <w:r>
        <w:rPr>
          <w:rtl w:val="0"/>
          <w:lang w:val="fa-IR"/>
        </w:rPr>
        <w:t xml:space="preserve">تعالیم اسلام</w:t>
      </w:r>
      <w:r>
        <w:rPr>
          <w:rtl w:val="0"/>
          <w:lang w:val="fa-IR"/>
        </w:rPr>
        <w:t xml:space="preserve">، حضرت </w:t>
      </w:r>
      <w:r>
        <w:rPr>
          <w:rtl w:val="0"/>
          <w:lang w:val="fa-IR"/>
        </w:rPr>
        <w:t xml:space="preserve">علامه آیت الله حاج سید محمد حسین طباطبایی</w:t>
      </w:r>
      <w:r>
        <w:rPr>
          <w:rtl w:val="0"/>
          <w:lang w:val="fa-IR"/>
        </w:rPr>
        <w:t xml:space="preserve">. قدس سره.</w:t>
      </w:r>
    </w:p>
    <w:p>
      <w:pPr/>
      <w:r>
        <w:rPr>
          <w:rtl w:val="0"/>
          <w:lang w:val="fa-IR"/>
        </w:rPr>
        <w:t xml:space="preserve">3.</w:t>
      </w:r>
      <w:r>
        <w:rPr>
          <w:rtl w:val="0"/>
          <w:lang w:val="fa-IR"/>
        </w:rPr>
        <w:t xml:space="preserve">حریم قدس</w:t>
      </w:r>
      <w:r>
        <w:rPr>
          <w:rtl w:val="0"/>
          <w:lang w:val="fa-IR"/>
        </w:rPr>
        <w:t xml:space="preserve">، </w:t>
      </w:r>
      <w:r>
        <w:rPr>
          <w:rtl w:val="0"/>
          <w:lang w:val="fa-IR"/>
        </w:rPr>
        <w:t xml:space="preserve">اسرار ملکوت</w:t>
      </w:r>
      <w:r>
        <w:rPr>
          <w:rtl w:val="0"/>
          <w:lang w:val="fa-IR"/>
        </w:rPr>
        <w:t xml:space="preserve">، حضرت </w:t>
      </w:r>
      <w:r>
        <w:rPr>
          <w:rtl w:val="0"/>
          <w:lang w:val="fa-IR"/>
        </w:rPr>
        <w:t xml:space="preserve">آیت الله حاج سید محسن حسینی طهرانی</w:t>
      </w:r>
      <w:r>
        <w:rPr>
          <w:rtl w:val="0"/>
          <w:lang w:val="fa-IR"/>
        </w:rPr>
        <w:t xml:space="preserve">. قدس سره.</w:t>
      </w:r>
    </w:p>
    <w:p>
      <w:pPr/>
      <w:r>
        <w:rPr>
          <w:rtl w:val="0"/>
          <w:lang w:val="fa-IR"/>
        </w:rPr>
        <w:t xml:space="preserve">4.</w:t>
      </w:r>
      <w:r>
        <w:rPr>
          <w:rtl w:val="0"/>
          <w:lang w:val="fa-IR"/>
        </w:rPr>
        <w:t xml:space="preserve">تذکرة المتقین</w:t>
      </w:r>
      <w:r>
        <w:rPr>
          <w:rtl w:val="0"/>
          <w:lang w:val="fa-IR"/>
        </w:rPr>
        <w:t xml:space="preserve">، حضرت </w:t>
      </w:r>
      <w:r>
        <w:rPr>
          <w:rtl w:val="0"/>
          <w:lang w:val="fa-IR"/>
        </w:rPr>
        <w:t xml:space="preserve">آیت الله حاج شیخ محمد بهاری</w:t>
      </w:r>
      <w:r>
        <w:rPr>
          <w:rtl w:val="0"/>
          <w:lang w:val="fa-IR"/>
        </w:rPr>
        <w:t xml:space="preserve">. قدس سره.</w:t>
      </w:r>
    </w:p>
    <w:p>
      <w:pPr/>
      <w:r>
        <w:rPr>
          <w:rtl w:val="0"/>
          <w:lang w:val="fa-IR"/>
        </w:rPr>
        <w:t xml:space="preserve">کلمات کلیدی: عرفان حق، عرفان باطل، لقاء الله، فناء، معرفت نفس، ولیّ.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کهف (18)، آیۀ 110.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237.</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نهج البلاغة (عبده)</w:t>
      </w:r>
      <w:r>
        <w:rPr>
          <w:rtl w:val="0"/>
          <w:lang w:val="fa-IR"/>
        </w:rPr>
        <w:t xml:space="preserve">، ج 1، ص 16.</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اسرار ملكوت</w:t>
      </w:r>
      <w:r>
        <w:rPr>
          <w:rtl w:val="0"/>
          <w:lang w:val="fa-IR"/>
        </w:rPr>
        <w:t xml:space="preserve">، ج‏2، ص 169.</w:t>
      </w:r>
    </w:p>
  </w:footnote>
  <w:footnote w:id="5">
    <w:p>
      <w:pPr>
        <w:pStyle w:val="FootnoteText"/>
      </w:pPr>
      <w:r>
        <w:rPr>
          <w:rStyle w:val="FootnoteReference"/>
        </w:rPr>
        <w:footnoteRef/>
      </w:r>
      <w:r>
        <w:t xml:space="preserve"> </w:t>
      </w:r>
      <w:r>
        <w:rPr>
          <w:rtl w:val="0"/>
          <w:lang w:val="fa-IR"/>
        </w:rPr>
        <w:t xml:space="preserve"> . </w:t>
      </w:r>
      <w:r>
        <w:rPr>
          <w:rtl w:val="0"/>
          <w:lang w:val="fa-IR"/>
        </w:rPr>
        <w:t xml:space="preserve">تعالیم اسلام</w:t>
      </w:r>
      <w:r>
        <w:rPr>
          <w:rtl w:val="0"/>
          <w:lang w:val="fa-IR"/>
        </w:rPr>
        <w:t xml:space="preserve"> ص 65 و 55:</w:t>
      </w:r>
    </w:p>
    <w:p>
      <w:pPr>
        <w:pStyle w:val="FootnoteText"/>
      </w:pPr>
      <w:r>
        <w:rPr>
          <w:rtl w:val="0"/>
          <w:lang w:val="fa-IR"/>
        </w:rPr>
        <w:t xml:space="preserve">چنان كه در عصر حاضر، اكثريت مردم روى زمين دين‌دارند و به خدايى كه جهان را آفريده معتقدند و آن را پرستش مى‌كنند.</w:t>
      </w:r>
    </w:p>
    <w:p>
      <w:pPr>
        <w:pStyle w:val="FootnoteText"/>
      </w:pPr>
      <w:r>
        <w:rPr>
          <w:rtl w:val="0"/>
          <w:lang w:val="fa-IR"/>
        </w:rPr>
        <w:t xml:space="preserve">بشر ديروزى نيز حال بشر امروزى را داشته است و تا جايى كه تاريخ نشان مى‌دهد، اكثريت افراد بشر دين‌دار بوده و خدايى براى جهان آفرينش اثبات مى‌كرده‌اند. اگر چه در ميان جامعه‌هاى خداشناس و متدين، اختلاف نظر نيز وجود داشته است و هر قومى مبدأ آفرينش را با اوصاف مخصوص توصيف مى‌نموده‌اند، ولى در اصل مطلب اتفاق كلمه داشته‌اند و غير از اسلام ساير اديان هم مانند نصرانيت و يهوديت و مجوسيت و بودايى‌ها، در اين باره هم عقيده و همداستان‌اند و كسانى كه منكر وجود صانع مى‌باشند، دليلى بر نفى ندارند و هرگز نخواهند داشت بلكه در حقيقت مى‌گويند دليل بر وجود صانع نداريم و نمى‌گويند دليل بر عدمش داريم.</w:t>
      </w:r>
    </w:p>
    <w:p>
      <w:pPr>
        <w:pStyle w:val="FootnoteText"/>
      </w:pPr>
      <w:r>
        <w:rPr>
          <w:rtl w:val="0"/>
          <w:lang w:val="fa-IR"/>
        </w:rPr>
        <w:t xml:space="preserve">مرد مادى مى‌گويد: «نمى‌دانم!» نمى‌گويد «نيست!» و به عبارت ديگر، يك نفر مادى «مردد» است نه «منكر»</w:t>
      </w:r>
    </w:p>
    <w:p>
      <w:pPr>
        <w:pStyle w:val="FootnoteText"/>
      </w:pPr>
      <w:r>
        <w:rPr>
          <w:rtl w:val="0"/>
          <w:lang w:val="fa-IR"/>
        </w:rPr>
        <w:t xml:space="preserve">خداى متعال در كلام خود به اين معنا اشاره نموده و مى‌فرمايد: </w:t>
      </w:r>
      <w:r>
        <w:rPr>
          <w:rtl w:val="0"/>
          <w:lang w:val="fa-IR"/>
        </w:rPr>
        <w:t xml:space="preserve">﴿وَ قٰالُوا مٰا هِيَ إِلاّٰ حَيٰاتُنَا اَلدُّنْيٰا نَمُوتُ وَ نَحْيٰا وَ مٰا يُهْلِكُنٰا إِلاَّ اَلدَّهْرُ وَ مٰا لَهُمْ بِذٰلِكَ مِنْ عِلْمٍ إِنْ هُمْ إِلاّٰ يَظُنُّونَ‌﴾</w:t>
      </w:r>
      <w:r>
        <w:rPr>
          <w:rtl w:val="0"/>
          <w:lang w:val="fa-IR"/>
        </w:rPr>
        <w:t xml:space="preserve">؛ گويند زندگى ما همين زندگى محسوس جهان است كه يكى مى‌ميرد و ديگرى زنده مى‌شود و با مرور زمان از ميان مى‌رويم (ديگر پس پرده خبرى نيست) اين افراد به اين گفته خود يقين ندارند.</w:t>
      </w:r>
    </w:p>
    <w:p>
      <w:pPr>
        <w:pStyle w:val="FootnoteText"/>
      </w:pPr>
      <w:r>
        <w:rPr>
          <w:rtl w:val="0"/>
          <w:lang w:val="fa-IR"/>
        </w:rPr>
        <w:t xml:space="preserve">حتى در باستانى‌ترين آثار كه از بشر نخستين كشف شده، نشانه‌هايى از وجود دين و خداشناسى يافت مى‌شود و علائمى در دست است كه آنان به ماوراى طبيعت اعتقاد و ايمان داشته‌اند.</w:t>
      </w:r>
    </w:p>
    <w:p>
      <w:pPr>
        <w:pStyle w:val="FootnoteText"/>
      </w:pPr>
      <w:r>
        <w:rPr>
          <w:rtl w:val="0"/>
          <w:lang w:val="fa-IR"/>
        </w:rPr>
        <w:t xml:space="preserve">و حتى در قاره‌هاى تازه، مانند آمريكا و استراليا و جزائر دوردست قارۀ قديم كه در قرن‌هاى اخير كشف شده‌اند، اهالى بومى خداشناس بوده و با اختلاف سليقه‌ها مبدئى براى جهان آفرينش اثبات مى‌كرده‌اند، با اين كه تاريخ ارتباط آنان با دنياى قديم هرگز به دست نيامده است.</w:t>
      </w:r>
    </w:p>
    <w:p>
      <w:pPr>
        <w:pStyle w:val="FootnoteText"/>
      </w:pPr>
      <w:r>
        <w:rPr>
          <w:rtl w:val="0"/>
          <w:lang w:val="fa-IR"/>
        </w:rPr>
        <w:t xml:space="preserve">تأمل در اين مطلب كه اعتقاد به خدا هميشه در ميان بشر بوده روشن مى‌كند كه خداشناسى فطرى انسان است و بشر با فطرت خدادادى خود، خدايى براى آفرينش جهان اثبات مى‌كند. قرآن كريم به اين خاصيت فطرى انسان اشاره كرده مى‌فرمايد: </w:t>
      </w:r>
      <w:r>
        <w:rPr>
          <w:rtl w:val="0"/>
          <w:lang w:val="fa-IR"/>
        </w:rPr>
        <w:t xml:space="preserve">﴿وَ لَئِنْ سَأَلْتَهُمْ مَنْ خَلَقَهُمْ لَيَقُولُنَّ اَللّٰهُ‌﴾</w:t>
      </w:r>
      <w:r>
        <w:rPr>
          <w:rtl w:val="0"/>
          <w:lang w:val="fa-IR"/>
        </w:rPr>
        <w:t xml:space="preserve">؛اگر از آنان بپرسى چه كسى آنان را آفريده است‌؟ البته خواهند گفت: خدا.</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لب اللباب</w:t>
      </w:r>
      <w:r>
        <w:rPr>
          <w:rtl w:val="0"/>
          <w:lang w:val="fa-IR"/>
        </w:rPr>
        <w:t xml:space="preserve">، ص 9.</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فرهنگ فارسی عمید</w:t>
      </w:r>
      <w:r>
        <w:rPr>
          <w:rtl/>
          <w:lang w:val="fa-IR"/>
        </w:rPr>
        <w:t xml:space="preserve">؛ سرشت، اصل، فطرت؛ سیرت.(مترجم).</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41.</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آیین رستگاری</w:t>
      </w:r>
      <w:r>
        <w:rPr>
          <w:rtl w:val="0"/>
          <w:lang w:val="fa-IR"/>
        </w:rPr>
        <w:t xml:space="preserve">، ص 55.</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تذکرة المتقین</w:t>
      </w:r>
      <w:r>
        <w:rPr>
          <w:rtl w:val="0"/>
          <w:lang w:val="fa-IR"/>
        </w:rPr>
        <w:t xml:space="preserve">،انتشارات نهاوندی، قم، ۱۳۷۵، ص ۱۷۹، ۱۸۰ </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76.</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روح مجرّد</w:t>
      </w:r>
      <w:r>
        <w:rPr>
          <w:rtl w:val="0"/>
          <w:lang w:val="fa-IR"/>
        </w:rPr>
        <w:t xml:space="preserve">، ص 348.</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شرح دعای افتتاح</w:t>
      </w:r>
      <w:r>
        <w:rPr>
          <w:rtl w:val="0"/>
          <w:lang w:val="fa-IR"/>
        </w:rPr>
        <w:t xml:space="preserve">، ص 201.</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193.</w:t>
      </w:r>
    </w:p>
  </w:footnote>
  <w:footnote w:id="15">
    <w:p>
      <w:pPr>
        <w:pStyle w:val="FootnoteText"/>
      </w:pPr>
      <w:r>
        <w:rPr>
          <w:rStyle w:val="FootnoteReference"/>
        </w:rPr>
        <w:footnoteRef/>
      </w:r>
      <w:r>
        <w:t xml:space="preserve"> </w:t>
      </w:r>
      <w:r>
        <w:rPr>
          <w:rtl w:val="0"/>
          <w:lang w:val="fa-IR"/>
        </w:rPr>
        <w:t xml:space="preserve">.جهت اطّلاع بيشتر پيرامون مسئلۀ لقاء الله رجوع شود به </w:t>
      </w:r>
      <w:r>
        <w:rPr>
          <w:rtl w:val="0"/>
          <w:lang w:val="fa-IR"/>
        </w:rPr>
        <w:t xml:space="preserve">الله شناسى</w:t>
      </w:r>
      <w:r>
        <w:rPr>
          <w:rtl w:val="0"/>
          <w:lang w:val="fa-IR"/>
        </w:rPr>
        <w:t xml:space="preserve">، ج 1 و 2.</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تفسیر آیه نور</w:t>
      </w:r>
      <w:r>
        <w:rPr>
          <w:rtl w:val="0"/>
          <w:lang w:val="fa-IR"/>
        </w:rPr>
        <w:t xml:space="preserve">، 214.</w:t>
      </w:r>
    </w:p>
  </w:footnote>
  <w:footnote w:id="17">
    <w:p>
      <w:pPr>
        <w:pStyle w:val="FootnoteText"/>
      </w:pPr>
      <w:r>
        <w:rPr>
          <w:rStyle w:val="FootnoteReference"/>
        </w:rPr>
        <w:footnoteRef/>
      </w:r>
      <w:r>
        <w:t xml:space="preserve"> </w:t>
      </w:r>
      <w:r>
        <w:rPr>
          <w:rtl w:val="0"/>
          <w:lang w:val="fa-IR"/>
        </w:rPr>
        <w:t xml:space="preserve">.</w:t>
      </w:r>
      <w:r>
        <w:rPr>
          <w:rtl w:val="0"/>
          <w:lang w:val="fa-IR"/>
        </w:rPr>
        <w:t xml:space="preserve">تذکرة المتقین</w:t>
      </w:r>
      <w:r>
        <w:rPr>
          <w:rtl w:val="0"/>
          <w:lang w:val="fa-IR"/>
        </w:rPr>
        <w:t xml:space="preserve">، ص ۱۸۵، ۱۸۶؛ وص ۱۸۱</w:t>
      </w:r>
    </w:p>
  </w:footnote>
  <w:footnote w:id="18">
    <w:p>
      <w:pPr>
        <w:pStyle w:val="FootnoteText"/>
      </w:pPr>
      <w:r>
        <w:rPr>
          <w:rStyle w:val="FootnoteReference"/>
        </w:rPr>
        <w:footnoteRef/>
      </w:r>
      <w:r>
        <w:t xml:space="preserve"> </w:t>
      </w:r>
      <w:r>
        <w:rPr>
          <w:rtl w:val="0"/>
          <w:lang w:val="fa-IR"/>
        </w:rPr>
        <w:t xml:space="preserve">.</w:t>
      </w:r>
      <w:r>
        <w:rPr>
          <w:rtl w:val="0"/>
          <w:lang w:val="fa-IR"/>
        </w:rPr>
        <w:t xml:space="preserve">حریم قدس، </w:t>
      </w:r>
      <w:r>
        <w:rPr>
          <w:rtl w:val="0"/>
          <w:lang w:val="fa-IR"/>
        </w:rPr>
        <w:t xml:space="preserve">ص 77.</w:t>
      </w:r>
    </w:p>
  </w:footnote>
  <w:footnote w:id="19">
    <w:p>
      <w:pPr>
        <w:pStyle w:val="FootnoteText"/>
      </w:pPr>
      <w:r>
        <w:rPr>
          <w:rStyle w:val="FootnoteReference"/>
        </w:rPr>
        <w:footnoteRef/>
      </w:r>
      <w:r>
        <w:t xml:space="preserve"> </w:t>
      </w:r>
      <w:r>
        <w:rPr>
          <w:rtl w:val="0"/>
          <w:lang w:val="fa-IR"/>
        </w:rPr>
        <w:t xml:space="preserve">.جهت اطّلاع بيشتر پيرامون مسئله فوق رجوع شود به </w:t>
      </w:r>
      <w:r>
        <w:rPr>
          <w:rtl w:val="0"/>
          <w:lang w:val="fa-IR"/>
        </w:rPr>
        <w:t xml:space="preserve">روح مجرّد</w:t>
      </w:r>
      <w:r>
        <w:rPr>
          <w:rtl w:val="0"/>
          <w:lang w:val="fa-IR"/>
        </w:rPr>
        <w:t xml:space="preserve">، ص 625.</w:t>
      </w:r>
    </w:p>
  </w:footnote>
  <w:footnote w:id="20">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37.</w:t>
      </w:r>
    </w:p>
  </w:footnote>
  <w:footnote w:id="21">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