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هوالعليم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توضیحی بر وحدت وجود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مفهوم وحدت وجود وفرق آن با اتحاد وحلول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برگرفته از آثار:</w:t>
      </w:r>
    </w:p>
    <w:p>
      <w:pPr>
        <w:pStyle w:val="VasatChinMatn"/>
      </w:pPr>
      <w:r>
        <w:rPr>
          <w:rtl w:val="0"/>
          <w:lang w:val="fa-IR"/>
        </w:rPr>
        <w:t xml:space="preserve">حضرت علاّمه آية اللّه حاج سيّد محمد حسين حسيني تهراني</w:t>
      </w:r>
    </w:p>
    <w:p>
      <w:pPr>
        <w:pStyle w:val="VasatChinMatn"/>
      </w:pPr>
      <w:r>
        <w:rPr>
          <w:rtl w:val="0"/>
          <w:lang w:val="fa-IR"/>
        </w:rPr>
        <w:t xml:space="preserve">و</w:t>
      </w:r>
    </w:p>
    <w:p>
      <w:pPr>
        <w:pStyle w:val="VasatChinMatn"/>
      </w:pPr>
      <w:r>
        <w:rPr>
          <w:rtl w:val="0"/>
          <w:lang w:val="fa-IR"/>
        </w:rPr>
        <w:t xml:space="preserve">حضرت آیة اللّه الحاج سيّد محمد محسن حسيني تهراني</w:t>
      </w:r>
    </w:p>
    <w:p>
      <w:pPr>
        <w:pStyle w:val="VasatChinMatn"/>
      </w:pPr>
      <w:r>
        <w:rPr>
          <w:rtl w:val="0"/>
          <w:lang w:val="fa-IR"/>
        </w:rPr>
        <w:t xml:space="preserve">قدّس اللّه سرّهما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بسم الله الرّحمن الرّحيم‏</w:t>
      </w:r>
    </w:p>
    <w:p>
      <w:pPr>
        <w:pStyle w:val="VasatChinMatn"/>
      </w:pPr>
      <w:r>
        <w:rPr>
          <w:rtl w:val="0"/>
          <w:lang w:val="fa-IR"/>
        </w:rPr>
        <w:t xml:space="preserve">الحدلله رب العالمین </w:t>
      </w:r>
    </w:p>
    <w:p>
      <w:pPr>
        <w:pStyle w:val="VasatChinMatn"/>
      </w:pPr>
      <w:r>
        <w:rPr>
          <w:rtl w:val="0"/>
          <w:lang w:val="fa-IR"/>
        </w:rPr>
        <w:t xml:space="preserve">و صلی الله علی محمد و آله الطاهرین</w:t>
      </w:r>
    </w:p>
    <w:p>
      <w:pPr>
        <w:pStyle w:val="VasatChinMatn"/>
      </w:pPr>
      <w:r>
        <w:rPr>
          <w:rtl w:val="0"/>
          <w:lang w:val="fa-IR"/>
        </w:rPr>
        <w:t xml:space="preserve">و لعنَةُ اللهِ على أعدائهِم اجمعین‏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Heading1"/>
      </w:pPr>
      <w:r>
        <w:rPr>
          <w:rtl w:val="0"/>
          <w:lang w:val="fa-IR"/>
        </w:rPr>
        <w:t xml:space="preserve">ساده ترین عبارت در وحدت وجود</w:t>
      </w:r>
    </w:p>
    <w:p>
      <w:pPr/>
      <w:r>
        <w:rPr>
          <w:rtl w:val="0"/>
          <w:lang w:val="fa-IR"/>
        </w:rPr>
        <w:t xml:space="preserve">وحدت وجود اينست كه خداوند اصل و مبدأ در جهان است و هيچ موجودى از پيش خود موجود نشده است، اين ساده ترين عبارتى است كه مى توان گفت.</w:t>
      </w:r>
      <w:r>
        <w:rPr>
          <w:rStyle w:val="FootnoteReference"/>
        </w:rPr>
        <w:footnoteReference w:id="1"/>
      </w:r>
    </w:p>
    <w:p>
      <w:pPr>
        <w:pStyle w:val="Heading1"/>
      </w:pPr>
      <w:r>
        <w:rPr>
          <w:rtl w:val="0"/>
          <w:lang w:val="fa-IR"/>
        </w:rPr>
        <w:t xml:space="preserve">فرق وحدت با اتحاد وحلول</w:t>
      </w:r>
    </w:p>
    <w:p>
      <w:pPr/>
      <w:r>
        <w:rPr>
          <w:rtl w:val="0"/>
          <w:lang w:val="fa-IR"/>
        </w:rPr>
        <w:t xml:space="preserve">وحدت به معنى اتّحاد و حلول ذات خالق با مخلوق نيست؛ وحدت به معنى عينيّت ذات لا يتناهى و ما لا اسم له و لا رسم له با اين وجودات متعيّنه كثيفه متقيّده و محدوده به هزاران عيب و علّت نيست‏.</w:t>
      </w:r>
    </w:p>
    <w:p>
      <w:pPr/>
      <w:r>
        <w:rPr>
          <w:rtl w:val="0"/>
          <w:lang w:val="fa-IR"/>
        </w:rPr>
        <w:t xml:space="preserve">وحدت به معنى استقلال ذات حقّ تعالى شأنه در وجود است كه با وجود اين استقلال و عزّت، هيچ موجود دگرى توان استقلال را نداشته و وجودش وجودى ظِلّى و تَبَعى است، همچون سايه شاخص كه به دنبال آن ميگردد. تمام موجودات وجودشان از حقّ است؛ همه آيه و نماينده مى‏باشند. بنابراين همه ظهورات او ميباشند و تجلّيات ذات أقدس وى.</w:t>
      </w:r>
    </w:p>
    <w:p>
      <w:pPr/>
      <w:r>
        <w:rPr>
          <w:rtl w:val="0"/>
          <w:lang w:val="fa-IR"/>
        </w:rPr>
        <w:t xml:space="preserve">امّا ظاهر از مَظْهر جدا نيست، و متجلِّى از متجلَّى فيه انفكاك نمى‏تواند داشته باشد؛ و گرنه ديگر ظهور و تجلّى نيست؛ آن وجودى است جدا و اين وجودى است جدا. در اينصورت عنوان مخلوق و ربط و رابطه برداشته ميشود و تمام كائنات مواليد خدا مى‏گردند، در حاليكه او </w:t>
      </w:r>
      <w:r>
        <w:rPr>
          <w:rtl w:val="0"/>
          <w:lang w:val="fa-IR"/>
        </w:rPr>
        <w:t xml:space="preserve">{لَمْ يَلِدْ}</w:t>
      </w:r>
      <w:r>
        <w:rPr>
          <w:rtl w:val="0"/>
          <w:lang w:val="fa-IR"/>
        </w:rPr>
        <w:t xml:space="preserve"> است.</w:t>
      </w:r>
      <w:r>
        <w:rPr>
          <w:rStyle w:val="FootnoteReference"/>
        </w:rPr>
        <w:footnoteReference w:id="2"/>
      </w:r>
    </w:p>
    <w:p>
      <w:pPr/>
      <w:r>
        <w:rPr>
          <w:rtl w:val="0"/>
          <w:lang w:val="fa-IR"/>
        </w:rPr>
        <w:t xml:space="preserve">عينيّت حقّ با اشياء، عينيّت ذات بسيط ما لا اسم له و لا رسم له با اشياء نيست؛ زيرا آن قابل وصف نيست و اين اشياء به وصف مى‏آيند. او تعيّن و حدّ ندارد؛ اينها همگى محدود و متعيّن هستند.</w:t>
      </w:r>
    </w:p>
    <w:p>
      <w:pPr/>
      <w:r>
        <w:rPr>
          <w:rtl w:val="0"/>
          <w:lang w:val="fa-IR"/>
        </w:rPr>
        <w:t xml:space="preserve">عينيّت به معنى عينيّت علّت با معلول، و خالق با فعل، و ظاهر با ظهور است. بدينمعنى كه: اگر فرض رفع حدود و تعيّنات شود، ديگر غير از وجود بَحْت و بسيط و مجرّد چيز ديگرى در ميان نمى‏ماند و نمى‏تواند در ميان بماند.</w:t>
      </w:r>
    </w:p>
    <w:p>
      <w:pPr/>
      <w:r>
        <w:rPr>
          <w:rtl w:val="0"/>
          <w:lang w:val="fa-IR"/>
        </w:rPr>
        <w:t xml:space="preserve">وحدت وجود به معنى تعلّق و ربط حقيقى- نه اعتبارى و توهّمى و خيالى- همه موجودات است با خالقشان، و در اينصورت ديگر فرض زنگار استقلال در موجودات بى معنى مى‏شود. همه با خدا مربوطاند؛ بلكه ربط صرف مى‏باشند. و خالق متعال كه حقيقت وجود و أصل الجودِ و الوُجود است با تمام اشياء معيّت دارد؛ نه معيّت 1+ 1 كه اين غلط است و عين شرك است؛ بلكه فى المَثَل مانند معيّت نفس ناطقه با بدن، و معيّت عقل و اراده با أفعال‏ صادره از انسان كه تحقيقاً در مفهوم و مفاد و معنى يكى نيستند؛ ولى از هم منفكّ و متمايز هم نمى‏باشند.</w:t>
      </w:r>
      <w:r>
        <w:rPr>
          <w:rStyle w:val="FootnoteReference"/>
        </w:rPr>
        <w:footnoteReference w:id="3"/>
      </w:r>
      <w:r>
        <w:rPr>
          <w:rtl w:val="0"/>
          <w:lang w:val="fa-IR"/>
        </w:rPr>
        <w:t xml:space="preserve"> </w:t>
      </w:r>
    </w:p>
    <w:p>
      <w:pPr>
        <w:pStyle w:val="Heading1"/>
      </w:pPr>
      <w:r>
        <w:rPr>
          <w:rtl w:val="0"/>
          <w:lang w:val="fa-IR"/>
        </w:rPr>
        <w:t xml:space="preserve">آیا وحدت وجود با توحید وشعارهای آن فرق می کند؟ </w:t>
      </w:r>
    </w:p>
    <w:p>
      <w:pPr/>
      <w:r>
        <w:rPr>
          <w:rtl w:val="0"/>
          <w:lang w:val="fa-IR"/>
        </w:rPr>
        <w:t xml:space="preserve">وحدت وجود، با توحید که مبنای اساس شرایع إلهیّه و بالأخص دین حنیفیه اسلام است، یک معنا است؛ وحدت، مصدر باب لازم و مجرّد است و توحید، مصدر باب متعدّی و مزید‌ٌ فیه. الله اکبر، و لا إله إلاّ الله معنایش همین حقیقت بزرگ است. </w:t>
      </w:r>
    </w:p>
    <w:p>
      <w:pPr/>
      <w:r>
        <w:rPr>
          <w:rtl w:val="0"/>
          <w:lang w:val="fa-IR"/>
        </w:rPr>
        <w:t xml:space="preserve">اینها [يى كه مفهوم وحدت وجود درست متوجه نشده اند] می‌گویند: وحدت وجود، یعنی همه چیز خداست، سگ خداست، کافر خداست، زانی خداست؛ عیاذًا بالله! کجا معنای وحدت این است؟! در کدام کتاب خوانده‌اید و یا از کدام مؤمن عارف موحّد شنیده‌اید؟!</w:t>
      </w:r>
    </w:p>
    <w:p>
      <w:pPr/>
      <w:r>
        <w:rPr>
          <w:rtl w:val="0"/>
          <w:lang w:val="fa-IR"/>
        </w:rPr>
        <w:t xml:space="preserve">آنها که فریاد می‌زنند: "در ذات واجب، همۀ اشیاء محدوده و تمام ممکنات بحدودها و ماهیّاتها راه ندارند!" کجا سگ و کافر و زانی راه پیدا می‌کنند؟!</w:t>
      </w:r>
    </w:p>
    <w:p>
      <w:pPr/>
      <w:r>
        <w:rPr>
          <w:rtl w:val="0"/>
          <w:lang w:val="fa-IR"/>
        </w:rPr>
        <w:t xml:space="preserve">ارباب شهود و کشف توحید می‌گویند: «در عالم وجود، غیر از خدا چیزی نیست.» یعنی وجود او چنان سیطره و احاطه در اثر وحدت حقّۀ حقیقیّه و صرفۀ خود دارد که هیچ موجودی در قبال او و در برابر او، عرض اندام ندارد؛ وجود اقدس حق، همۀ اشیاء را مندک و مضمحل و فانی نموده است. آنجا حدود و قیود ـ که لازمۀ شیئیّت اشیاء هستند ـ کجا می‌توانند وجود و تحقّق داشته باشند؟!</w:t>
      </w:r>
    </w:p>
    <w:p>
      <w:pPr/>
      <w:r>
        <w:rPr>
          <w:rtl w:val="0"/>
          <w:lang w:val="fa-IR"/>
        </w:rPr>
        <w:t xml:space="preserve">آنها می‌گویند: «وجود ارواح قدسیّه و نفوس انبیای عظام، در ذات حق مندک و فانی هستند! در ذات حق، جبرائیل و اسرافیل را نمی‌توان یافت!» آن‌وقت کجا سگ و خوک و میکروب و قاذورات یافت می‌شود؟!</w:t>
      </w:r>
    </w:p>
    <w:p>
      <w:pPr/>
      <w:r>
        <w:rPr>
          <w:rtl w:val="0"/>
          <w:lang w:val="fa-IR"/>
        </w:rPr>
        <w:t xml:space="preserve">آنها می‌گویند: «تمام موجودات در برابر ذات او وجودی ندارند؛ آنها همه تعیّن و ماهیت و حدود می‌باشند، و اصل وجود موجودات بسته به ذات حق است!» که از آن به صمدیّت و مصدریّت وقیّومیّت و منشائیّت تعبیر شده است.</w:t>
      </w:r>
    </w:p>
    <w:p>
      <w:pPr/>
      <w:r>
        <w:rPr>
          <w:rtl w:val="0"/>
          <w:lang w:val="fa-IR"/>
        </w:rPr>
        <w:t xml:space="preserve">این معنا و مفهوم را اگر درست دقّت کنیم، مفاد و مراد همین کلمۀ تکبیر و کلمۀ تهلیلی است که هر روز در نمازهای خود واجب است چندین بار بر زبان آوریم و به محتوا و مفادّ آن معتقد باشیم.</w:t>
      </w:r>
    </w:p>
    <w:p>
      <w:pPr/>
      <w:r>
        <w:rPr>
          <w:rtl w:val="0"/>
          <w:lang w:val="fa-IR"/>
        </w:rPr>
        <w:t xml:space="preserve">اما مسکینان نمی‌فهمند، و معنای وحدت را از نزد خود، حلول و اتّحاد می‌گیرند که منشأ آن شرک و دوئیّت است. آنگاه می‌ترسند که بدین اعتقاد عالی که روح اسلام است، لب بگشایند؛ درحالی‌که خودشان در شبانه‌روز در نمازها همین معنا را تکرار می‌کنند و همین عبارات را از ذهن می‌گذرانند. و این امر ناشی است از پایین آمدن سطح عمومی معارف اسلام و اکتفا به علوم مصطلحه و مقرّره، و دور شدن از آبشخوار حقایق.</w:t>
      </w:r>
      <w:r>
        <w:rPr>
          <w:rStyle w:val="FootnoteReference"/>
        </w:rPr>
        <w:footnoteReference w:id="4"/>
      </w:r>
    </w:p>
    <w:p>
      <w:pPr>
        <w:pStyle w:val="Heading1"/>
      </w:pPr>
      <w:r>
        <w:rPr>
          <w:rtl w:val="0"/>
          <w:lang w:val="fa-IR"/>
        </w:rPr>
        <w:t xml:space="preserve">خلاصه </w:t>
      </w:r>
    </w:p>
    <w:p>
      <w:pPr/>
      <w:r>
        <w:rPr>
          <w:rtl w:val="0"/>
          <w:lang w:val="fa-IR"/>
        </w:rPr>
        <w:t xml:space="preserve">معناى وحدت وجود به كلّى معناى تعدّد و تغاير را نفى مى‏كند و در برابر وجود مقدّس حضرت احديّت تمام وجودات متصوّره را جزء موهومات مى‏شمرد و همه را ظلّ و سايه مى‏شمرد، و سالك به واسطه ارتقاء به اين مقام تمام هستى خود را از دست مى‏دهد و خود را گم مى‏كند و فانى مى‏شود و غير از ذات مقدّس او در عالم وجود ذى وجودى را ادراك و ذوق نمى‏نمايد «و ليس في الدّار غيره ديّار»، اين كجا و حلول و اتّحاد كجا؟</w:t>
      </w:r>
      <w:r>
        <w:rPr>
          <w:rStyle w:val="FootnoteReference"/>
        </w:rPr>
        <w:footnoteReference w:id="5"/>
      </w:r>
      <w:r>
        <w:rPr>
          <w:rtl w:val="0"/>
          <w:lang w:val="fa-IR"/>
        </w:rPr>
        <w:t xml:space="preserve"> </w:t>
      </w:r>
    </w:p>
    <w:sectPr w:rsidSect="006A46D0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0" name="_x0000_i0298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298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مجموعه پرسش و پاسخ</w:t>
      </w:r>
      <w:r>
        <w:rPr>
          <w:rtl w:val="0"/>
          <w:lang w:val="fa-IR"/>
        </w:rPr>
        <w:t xml:space="preserve">، ص: 159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صدر آيه 3، از سوره 112: التّوحيد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روح مجرد</w:t>
      </w:r>
      <w:r>
        <w:rPr>
          <w:rtl w:val="0"/>
          <w:lang w:val="fa-IR"/>
        </w:rPr>
        <w:t xml:space="preserve">، ص: 373ـ 374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توحید علمی و عینی</w:t>
      </w:r>
      <w:r>
        <w:rPr>
          <w:rStyle w:val="EsmeKetab++"/>
          <w:rtl w:val="0"/>
          <w:lang w:val="fa-IR"/>
        </w:rPr>
        <w:t xml:space="preserve">،</w:t>
      </w:r>
      <w:r>
        <w:rPr>
          <w:rtl w:val="0"/>
          <w:lang w:val="fa-IR"/>
        </w:rPr>
        <w:t xml:space="preserve"> ص 327</w:t>
      </w:r>
    </w:p>
  </w:footnote>
  <w:footnote w:id="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رساله لب اللباب در سير و سلوك اولى الألباب</w:t>
      </w:r>
      <w:r>
        <w:rPr>
          <w:rtl w:val="0"/>
          <w:lang w:val="fa-IR"/>
        </w:rPr>
        <w:t xml:space="preserve">، ص: 140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