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اهمیت رفیق سلوکی و معیار انتخاب آن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تألیفات </w:t>
      </w:r>
    </w:p>
    <w:p>
      <w:pPr>
        <w:pStyle w:val="VasatChinMatn"/>
      </w:pPr>
      <w:r>
        <w:rPr>
          <w:rtl w:val="0"/>
          <w:lang w:val="fa-IR"/>
        </w:rPr>
        <w:t xml:space="preserve">حضرت علامه آیةالله حاج سید محمد 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قدّس الله نفسه الزکیّه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منبع: آیةالله حاج سید محمدمحسن حسینی طهرانی، اسرار ملکوت، ج3، ص 297.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‌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الحمدلله رب العالمین و صلی الله علی محمد و آله الطاهرین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و لعنَةُ اللهِ على أعدائهِم اجمعین‏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VasatChinMatn"/>
      </w:pPr>
      <w:r>
        <w:rPr>
          <w:rStyle w:val="Arabi"/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اهمّیت رفیق طریق و یار موافق در سیر و سلوک الی الله</w:t>
      </w:r>
    </w:p>
    <w:p>
      <w:pPr/>
      <w:r>
        <w:rPr>
          <w:rtl w:val="0"/>
          <w:lang w:val="fa-IR"/>
        </w:rPr>
        <w:t xml:space="preserve">مطلب بسیار مهم دیگر که سالک باید اهتمام بلیغ نسبت به آن داشته باشد، مسألۀ رفیق طریق و شریک راه و یار موافق است که همۀ اولیای الهی و اهل تربیت و معرفت نسبت به آن اهتمام و تأکید داشته اند.</w:t>
      </w:r>
    </w:p>
    <w:p>
      <w:pPr/>
      <w:r>
        <w:rPr>
          <w:rtl w:val="0"/>
          <w:lang w:val="fa-IR"/>
        </w:rPr>
        <w:t xml:space="preserve">رفیق طریق در سیر و سلوک برای سالک از نان شب واجب تر و از هر چیز لازم تر است؛ و این نه به جهت انس و الفت و رفع دلتنگی و نشاط است، بلکه به جهت دستگیری و ارائۀ طریق در مسائل شبهه ناک و ابهام آمیز است. رفیق آن است که پیوسته به مسائل دوست و صدیق خویش بنگرد و موارد شبهه آمیز را به او متذکّر شود و او را به راه راست هدایت کند و بر طریق صحیح دلالت نماید؛ چنانچه بعضی از حکماء چنین فرموده است: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صَدیقُک مَن صَدَقَک لا من صَدَّقَک</w:t>
      </w:r>
      <w:r>
        <w:rPr>
          <w:rtl w:val="0"/>
          <w:lang w:val="fa-IR"/>
        </w:rPr>
        <w:t xml:space="preserve">؛</w:t>
      </w:r>
    </w:p>
    <w:p>
      <w:pPr>
        <w:pStyle w:val="NaghlegholMatn"/>
      </w:pPr>
      <w:r>
        <w:rPr>
          <w:rtl w:val="0"/>
          <w:lang w:val="fa-IR"/>
        </w:rPr>
        <w:t xml:space="preserve">«رفیق و دوست مناسب آن کس است که راست را به تو بنمایاند و حق را به تو بشناساند؛ (نه کسی که پیوسته تو را تأیید کند و عمل ناپسند تو را نادیده انگارد تا مبادا آزرده خاطر نشوی و رشتۀ محبّت و دوستی‌ات را با او قطع نکنی، این رفیق خائن است نه رفیق.)»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سالک باید ارتباط خود را با افراد غیر، منحصر در مسائل ضروری و روزمرّه و متعارف قرار دهد؛ و با رفیق طریق، یعنی آن فردی که همراه با او به موازین سلوک عمل می نماید و به مبانی معرفت پایبند می باشد و او را پیوسته به سوی آخرت و تحصیل رضای الهی سوق می دهد و نشستن با او روح و نفس او را آرام و منبسط و با نشاط می سازد و از دنیا و زخارف دنیا برحذر می دارد و طمع او را نسبت به مادّیات و امور اعتباری و وادی توهّمات و تخیّلات از بین می برد، حشر و نشر داشته باشد و با او انس و الفت برقرار نماید و اسرار خود را با او در میان نهد و از روح و نفس او برای سیر و حرکت خود مدد گیرد.</w:t>
      </w:r>
    </w:p>
    <w:p>
      <w:pPr>
        <w:pStyle w:val="Heading1"/>
      </w:pPr>
      <w:r>
        <w:rPr>
          <w:rtl w:val="0"/>
          <w:lang w:val="fa-IR"/>
        </w:rPr>
        <w:t xml:space="preserve">تأثیر شگرف و اهمّیت رفیق طریق</w:t>
      </w:r>
    </w:p>
    <w:p>
      <w:pPr/>
      <w:r>
        <w:rPr>
          <w:rtl w:val="0"/>
          <w:lang w:val="fa-IR"/>
        </w:rPr>
        <w:t xml:space="preserve">اهمّیت و تأثیر شگرف رفیق آن‌قدر است که بزرگان فرموده‌اند:</w:t>
      </w:r>
    </w:p>
    <w:p>
      <w:pPr>
        <w:pStyle w:val="NaghlegholMatn"/>
      </w:pPr>
      <w:r>
        <w:rPr>
          <w:rStyle w:val="Arabi"/>
          <w:rtl w:val="0"/>
          <w:lang w:val="fa-IR"/>
        </w:rPr>
        <w:t xml:space="preserve">الرَّفیقَ ثُمَّ الطَّریق</w:t>
      </w:r>
      <w:r>
        <w:rPr>
          <w:rtl w:val="0"/>
          <w:lang w:val="fa-IR"/>
        </w:rPr>
        <w:t xml:space="preserve">؛ «ابتدا رفیق طریق را جستجو نما، سپس پای مردی در راه خدا بگذار.»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أمیرالمؤمنین علیه السّلام در نهج البلاغه می‌فرماید:</w:t>
      </w:r>
    </w:p>
    <w:p>
      <w:pPr/>
      <w:r>
        <w:rPr>
          <w:rStyle w:val="RevayatArabi"/>
          <w:rtl w:val="0"/>
          <w:lang w:val="fa-IR"/>
        </w:rPr>
        <w:t xml:space="preserve">أعجَزُ النّاسِ مَن عَجَزَ عَن اکتِسابِ الإخوانِ و أعجَزُ مِنهُ مَن ضَیَّعَ مَن ظَفِرَ بِه مِنهُم</w:t>
      </w:r>
      <w:r>
        <w:rPr>
          <w:rtl w:val="0"/>
          <w:lang w:val="fa-IR"/>
        </w:rPr>
        <w:t xml:space="preserve">؛</w:t>
      </w:r>
    </w:p>
    <w:p>
      <w:pPr/>
      <w:r>
        <w:rPr>
          <w:rtl w:val="0"/>
          <w:lang w:val="fa-IR"/>
        </w:rPr>
        <w:t xml:space="preserve">«ناتوان‌ترین مردم کسی است که نتواند رفیق صالح و مناسبی برای خویش به‌دست آورد، و بیچاره‌تر از او کسی است که پس از رفاقت با چنین رفیقی او را از دست بدهد.»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رفیق باید انسان را فقط برای راه و سلوک الی الله بخواهد و هیچ مقصود و منظوری را ورای این مطلب در نظر نیاورد، و باید بداند اگر همراه با این منظور به سایر امور از قبیل مال، وجاهت، شهرت و کسب و پیشه و سایر امور دنیوی نظر داشته باشد، خداوند همان مقصود را وبال و موجب آبروریزی و ذلّت او خواهد نمود.</w:t>
      </w:r>
    </w:p>
    <w:p>
      <w:pPr>
        <w:pStyle w:val="Heading1"/>
      </w:pPr>
      <w:r>
        <w:rPr>
          <w:rtl w:val="0"/>
          <w:lang w:val="fa-IR"/>
        </w:rPr>
        <w:t xml:space="preserve">معیار انتخاب رفیق راه</w:t>
      </w:r>
    </w:p>
    <w:p>
      <w:pPr/>
      <w:r>
        <w:rPr>
          <w:rtl w:val="0"/>
          <w:lang w:val="fa-IR"/>
        </w:rPr>
        <w:t xml:space="preserve">سالک در انتخاب رفیق فقط باید خدا را در نظر داشته باشد، نه موقعیّت‌های افراد را؛ زیرا این‌گونه ارتباطات در شأن امور اجتماعی و روابط بین افراد عادی و دنیوی و مادّی است.</w:t>
      </w:r>
    </w:p>
    <w:p>
      <w:pPr/>
      <w:r>
        <w:rPr>
          <w:rtl w:val="0"/>
          <w:lang w:val="fa-IR"/>
        </w:rPr>
        <w:t xml:space="preserve">رفیق در ارتباط با پروردگار پیوسته رفقای خودش را همراه و هم‌صحبت و هم‌گام قرار می‌دهد، و اگر فیضی از جانب حق متوجّه او گردد به سایر افراد نیز ساری و جاری خواهد شد. دعا می‌کند، ولی در حقّ رفیقش مستجاب می‌گردد؛ زیارت می‌خواند، برای رفیقش ثواب زیارت می‌نویسند؛ صدقه می‌دهد، برای رفیقش نیز به حساب می‌آورند، و همین‌طور... .</w:t>
      </w:r>
    </w:p>
    <w:p>
      <w:pPr/>
      <w:r>
        <w:rPr>
          <w:rtl w:val="0"/>
          <w:lang w:val="fa-IR"/>
        </w:rPr>
        <w:t xml:space="preserve">البته با توجّه به مطالب ذکر شده، دیگر رفیق آن فرد نیست که اسم سالک بر خود نهاده و در مجالس و محافل به عنوان شاگرد و راهرو این مکتب خود را قلمداد کند؛ بلکه آن فردی است که پایبند به مبانی و موازین سیر و سلوک باشد و امتحان خود را در مواقف مختلف و شرایط گوناگون داده باشد و از ارتباط با انسان فقط و فقط خدا را در نظر داشته باشد.</w:t>
      </w:r>
    </w:p>
    <w:p>
      <w:pPr/>
      <w:r>
        <w:rPr>
          <w:rtl w:val="0"/>
          <w:lang w:val="fa-IR"/>
        </w:rPr>
        <w:t xml:space="preserve">و بدین لحاظ است که بزرگان فرموده‌اند:</w:t>
      </w:r>
    </w:p>
    <w:p>
      <w:pPr>
        <w:pStyle w:val="NaghlegholMatn"/>
      </w:pPr>
      <w:r>
        <w:rPr>
          <w:rtl w:val="0"/>
          <w:lang w:val="fa-IR"/>
        </w:rPr>
        <w:t xml:space="preserve">«راه خدا با رفیق موافق بسیار سهل‌تر و هموارتر خواهد بود تا به تنهایی و بدون دوست و رفیق همراه.»</w:t>
      </w:r>
    </w:p>
    <w:p>
      <w:pPr/>
      <w:r>
        <w:rPr>
          <w:rtl w:val="0"/>
          <w:lang w:val="fa-IR"/>
        </w:rPr>
        <w:t xml:space="preserve">سالک باید برای خود از بین افراد و اشخاصی که داعی سیر و حرکت الی الله را دارند و خود را از منتسبین به این مسیر و مکتب می‌شمارند، افرادی را برگزیند که همنشینی با آنان موجب نشاط روح و انبساط قلب و پیدایش شور و عشق و حرارت به سوی پروردگار باشد.</w:t>
      </w:r>
    </w:p>
    <w:p>
      <w:pPr/>
      <w:r>
        <w:rPr>
          <w:rtl w:val="0"/>
          <w:lang w:val="fa-IR"/>
        </w:rPr>
        <w:t xml:space="preserve">رفیق سالک نباید فردی شکّاک و وسوسه‌گر و بدبین و منفی‌نگر باشد که صحبت با چنین افرادی موجب سردی خاطر و دل‌شکستگی و خستگی جان و روان خواهد شد.</w:t>
      </w:r>
    </w:p>
    <w:p>
      <w:pPr/>
      <w:r>
        <w:rPr>
          <w:rtl w:val="0"/>
          <w:lang w:val="fa-IR"/>
        </w:rPr>
        <w:t xml:space="preserve">بلکه به عکس، باید با مثبت‌گرایی و دمیدن روح نشاط و امید و سیمایی متبسّم و با طراوت، موجب ثبات قدم و طمأنینۀ قلب و استقامت در مسیر گردد، و با خوش‌بینی به اطراف بنگرد و در هر مسأله‌ای ابراز یأس و ناامیدی ننماید و افراد را نسبت به عاقبت سیر بدبین نسازد و آنان را دلسرد و ناامید نگرداند و کوتاهی دیگران را به رخ انسان نکشد و توقّف و یا انحراف برخی را به عنوان یک حکم عام، شامل همه افراد نسازد؛ بلکه به موارد مثبت نظر بیندازد و جریانات دلگرم کننده و امید دهنده را همیشه مطرح نماید.</w:t>
      </w:r>
    </w:p>
    <w:p>
      <w:pPr/>
      <w:r>
        <w:rPr>
          <w:rtl w:val="0"/>
          <w:lang w:val="fa-IR"/>
        </w:rPr>
        <w:t xml:space="preserve">سالک باید رفیقی را برای هم‌دمی و هم‌نفسی و هم‌صحبتی بگزیند که پیوسته در صدد دفع و رفع شبهات و ابهامات او باشد، و با کلام و رفتاری دلنشین غم و اندوه را از چهرۀ دل و سیمای او بزداید، و مشکلات خویش را به او منتقل ننماید و او را از حرکت و سیر باز ندارد.</w:t>
      </w:r>
    </w:p>
    <w:p>
      <w:pPr/>
      <w:r>
        <w:rPr>
          <w:rtl w:val="0"/>
          <w:lang w:val="fa-IR"/>
        </w:rPr>
        <w:t xml:space="preserve">سالک در ارتباط با گزینش رفیق نباید صرفاً به خنده‌ها و تواضع‌ها و فروتنی‌ها و محبّت‌های مقطعی و زودگذر و اظهار مودّت و محبّت و علاقۀ افراد بسنده کند، چه بسا این امور دیر یا زود در گذر فراز و نشیب‌ها و شرایط گوناگون تغییر پیدا کند و انسان را دچار حیرت و تعجّب و دلسردی نماید؛ بلکه باید به فهم و ادراک و بینش و میزان رسوخ و نفوذ مبانی و موازین سیر و سلوک در قلب و رفتار او بنگرد، و در هر حال باید خود را به خدا بسپارد و فقط از او استمداد نماید و بداند که فقط اوست که برای او باقی می‌ماند؛ چنانچه در آیۀ شریفه می‌فرماید:</w:t>
      </w:r>
    </w:p>
    <w:p>
      <w:pPr/>
      <w:r>
        <w:rPr>
          <w:rtl w:val="0"/>
          <w:lang w:val="fa-IR"/>
        </w:rPr>
        <w:t xml:space="preserve">﴿كُلُّ شَيءٍ هَالِكٌ إلا وَجهَهُۥ﴾</w:t>
      </w:r>
      <w:r>
        <w:rPr>
          <w:rtl w:val="0"/>
          <w:lang w:val="fa-IR"/>
        </w:rPr>
        <w:t xml:space="preserve">؛ «همه چیز و همه اشیاء بالأخره روزی به وادی فناء و بوار رهسپار خواهند شد، و فقط و فقط ظهور پروردگار است که باقی و فانی نشدنی است.»</w:t>
      </w:r>
      <w:r>
        <w:rPr>
          <w:rStyle w:val="FootnoteReference"/>
        </w:rPr>
        <w:footnoteReference w:id="4"/>
      </w:r>
    </w:p>
    <w:p>
      <w:pPr>
        <w:pStyle w:val="ChapChin"/>
      </w:pPr>
      <w:r>
        <w:rPr>
          <w:rtl w:val="0"/>
          <w:lang w:val="fa-IR"/>
        </w:rPr>
        <w:t xml:space="preserve"> </w:t>
      </w:r>
    </w:p>
    <w:p>
      <w:pPr>
        <w:pStyle w:val="ChapChin"/>
      </w:pPr>
      <w:r>
        <w:rPr>
          <w:rtl w:val="0"/>
          <w:lang w:val="fa-IR"/>
        </w:rPr>
        <w:t xml:space="preserve">اللهم صل علی محمد و آل محمد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٣، ص ٤٤.</w:t>
      </w:r>
    </w:p>
    <w:p>
      <w:pPr>
        <w:pStyle w:val="FootnoteText"/>
      </w:pPr>
      <w:r>
        <w:rPr>
          <w:rtl w:val="0"/>
          <w:lang w:val="fa-IR"/>
        </w:rPr>
        <w:t xml:space="preserve">این عبارت در مجامع روایی موجود یافت نشد، لیکن در </w:t>
      </w:r>
      <w:r>
        <w:rPr>
          <w:rtl w:val="0"/>
          <w:lang w:val="fa-IR"/>
        </w:rPr>
        <w:t xml:space="preserve">کشکول شیخ بهایی</w:t>
      </w:r>
      <w:r>
        <w:rPr>
          <w:rtl w:val="0"/>
          <w:lang w:val="fa-IR"/>
        </w:rPr>
        <w:t xml:space="preserve">، ج ١، ص ١٣٦؛ و ج ٣، ص ١، و بسیاری از کتب به نقل از حکما آمده است. (محقّق)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شیخ مفید در </w:t>
      </w:r>
      <w:r>
        <w:rPr>
          <w:rtl w:val="0"/>
          <w:lang w:val="fa-IR"/>
        </w:rPr>
        <w:t xml:space="preserve">الاختصاص</w:t>
      </w:r>
      <w:r>
        <w:rPr>
          <w:rtl w:val="0"/>
          <w:lang w:val="fa-IR"/>
        </w:rPr>
        <w:t xml:space="preserve">، ص ٣٣٦، این عبارت را از لقمان حکیم نقل نموده؛ لیکن در </w:t>
      </w:r>
      <w:r>
        <w:rPr>
          <w:rtl w:val="0"/>
          <w:lang w:val="fa-IR"/>
        </w:rPr>
        <w:t xml:space="preserve">محاسن برقی</w:t>
      </w:r>
      <w:r>
        <w:rPr>
          <w:rtl w:val="0"/>
          <w:lang w:val="fa-IR"/>
        </w:rPr>
        <w:t xml:space="preserve">، ج ٢، ص ٣٥٧؛ </w:t>
      </w:r>
      <w:r>
        <w:rPr>
          <w:rtl w:val="0"/>
          <w:lang w:val="fa-IR"/>
        </w:rPr>
        <w:t xml:space="preserve">بحار الأنوار</w:t>
      </w:r>
      <w:r>
        <w:rPr>
          <w:rtl w:val="0"/>
          <w:lang w:val="fa-IR"/>
        </w:rPr>
        <w:t xml:space="preserve">، ج ٧٣، ص ٢٦٧ از پیامبر اکرم صلّی الله علیه و آله و سلّم نقل نموده‌اند. (محقّق)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نهج البلاغة</w:t>
      </w:r>
      <w:r>
        <w:rPr>
          <w:rtl w:val="0"/>
          <w:lang w:val="fa-IR"/>
        </w:rPr>
        <w:t xml:space="preserve"> (عبده)، ج ٤، ص ١٤٠.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قصص (28) قسمتی از آیه 88.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