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شب و روز عرفه و اعمال آن</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آیت‌اللَه حاج سید محمدحسین حسینی طهرانی</w:t>
      </w:r>
    </w:p>
    <w:p>
      <w:pPr>
        <w:pStyle w:val="VasatChinMatn"/>
      </w:pPr>
      <w:r>
        <w:rPr>
          <w:rtl w:val="0"/>
          <w:lang w:val="fa-IR"/>
        </w:rPr>
        <w:t xml:space="preserve">و</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قدّس اللَه سرّهما</w:t>
      </w:r>
    </w:p>
    <w:p>
      <w:pPr>
        <w:pStyle w:val="VasatChinMatn"/>
      </w:pPr>
      <w:r>
        <w:rPr>
          <w:rtl w:val="0"/>
          <w:lang w:val="fa-IR"/>
        </w:rPr>
        <w:t xml:space="preserve"> </w:t>
      </w:r>
    </w:p>
    <w:p>
      <w:pPr>
        <w:pStyle w:val="VasatChinMatn"/>
      </w:pPr>
      <w:r>
        <w:rPr>
          <w:rtl w:val="0"/>
          <w:lang w:val="fa-IR"/>
        </w:rPr>
        <w:t xml:space="preserve"> </w:t>
      </w:r>
    </w:p>
    <w:p>
      <w:pPr/>
      <w:r>
        <w:br w:type="page"/>
      </w:r>
    </w:p>
    <w:p>
      <w:pPr>
        <w:pStyle w:val="Heading2"/>
      </w:pPr>
      <w:r>
        <w:rPr>
          <w:rtl w:val="0"/>
          <w:lang w:val="fa-IR"/>
        </w:rPr>
        <w:t xml:space="preserve">توجه تامّ امام حسین علیه‌السلام به عنایت خداوند، در دعای عرفه</w:t>
      </w:r>
    </w:p>
    <w:p>
      <w:pPr/>
      <w:r>
        <w:rPr>
          <w:rtl w:val="0"/>
          <w:lang w:val="fa-IR"/>
        </w:rPr>
        <w:t xml:space="preserve">دعای سیدالشهداء در روز عرفه که واقعاً دریاهایی از معرفت است، بسیار مهم است. چطور حضرت تمام شراشر وجود خود را در این نظام، رو می‌کند و دست قدرت پروردگار را در ایجاد و تکامل و استقرار حیات و کیفیت دستگیری و هدایت و مانند آن ـ که واقعاً عجیب است ـ در این دعا بیان می‌کند!</w:t>
      </w:r>
    </w:p>
    <w:p>
      <w:pPr/>
      <w:r>
        <w:rPr>
          <w:rtl w:val="0"/>
          <w:lang w:val="fa-IR"/>
        </w:rPr>
        <w:t xml:space="preserve">کسی که این دعا را بخواند و به معانی آن توجه داشته باشد، متوجه می‌شود که تمام حرکات ما بدون عنایت خدا انجام نمی‌گیرد. تا عنایت خدا نباشد تمام آن توجه ما فایده‌ای ندارد. اگر یک عنایت سلب شود، هزار مانع پیش می‌آید. حضرت در این دعا همه را بیان می‌کند و می‌گوید:</w:t>
      </w:r>
    </w:p>
    <w:p>
      <w:pPr/>
      <w:r>
        <w:rPr>
          <w:rtl w:val="0"/>
          <w:lang w:val="fa-IR"/>
        </w:rPr>
        <w:t xml:space="preserve">«خدایا، تو دست من را گرفتی و آنچه برای من لازم است پیش آوردی و آن موانعی را که هست یکی‌یکی خودت برمی‌داری و من نمی‌دانم.»</w:t>
      </w:r>
      <w:r>
        <w:rPr>
          <w:rStyle w:val="FootnoteReference"/>
        </w:rPr>
        <w:footnoteReference w:id="1"/>
      </w:r>
    </w:p>
    <w:p>
      <w:pPr/>
      <w:r>
        <w:rPr>
          <w:rtl w:val="0"/>
          <w:lang w:val="fa-IR"/>
        </w:rPr>
        <w:t xml:space="preserve">من الآن در این مجلس حضور پیدا کرده‌ام، اما خبر داریم هزار مانع برداشته شده تا ما اینجا آمده‌ایم؟! نه! می‌گوییم سوار ماشین شدیم و روشن کردیم و آمدیم! هزارها مانع بوده که ما خبر نداریم، وقتی یکی از آنها روشن می‌شود [می‌گوییم] «خیلی عجیب است! اگر این قضیّه اتفاق می‌افتاد، ما نمی‌توانستیم به این برسیم.» منتها خدا همه را مخفی نگه داشته است؛ می‌گوید: «تو دلت را صاف کن، دیگر کاری نداشته باش؛ ما خودمان موانع را برمی‌داریم!» دیگر خیلی راحت است! خدا کار را برای ما راحت کرده؛ می‌گوید: همۀ بارها را ما برمی‌داریم؛ تو داری چه‌کار می‌کنی؟! ما فقط از تو یک جو دلِ صاف می‌خواهیم، یک جو همت می‌خواهیم، یک جو صدق می‌خواهیم؛ بقیۀ کارهایش با ما. کسی نیامده به تو بگوید بیل بردار و بیل و کلنگ بزن! این کلنگ‌ها را ما می‌زنیم؛ تو فقط صفا داشته باش، ما تو را به جلو حرکت می‌دهیم، زمین را برای تو صاف و هموار می‌کنیم، آنچه به دردت می‌خورد در سرِ راه تو قرار می‌دهیم، آنچه مانع برای حرکت توست از جلوی پای تو برمی‌داریم، همۀ این کارها را ما داریم انجام می‌دهیم، تو می‌گویی «به‌به! ما سالک هستیم، خدایا ما در راه تو می‌رویم!» آقا بیا نگاه کن ببین چه خبر است! آن‌وقت از شرمندگی سر به زیر می‌اندازیم و دیگر نمی‌توانیم به روی خدا نگاه کنیم! دیگر نمی‌توانیم به روی بزرگان نگاه کنیم. [با خود می‌گوییم:] عجب!</w:t>
      </w:r>
    </w:p>
    <w:p>
      <w:pPr>
        <w:pStyle w:val="She'rMatn"/>
      </w:pPr>
      <w:r>
        <w:rPr>
          <w:rtl w:val="0"/>
          <w:lang w:val="fa-IR"/>
        </w:rPr>
        <w:t xml:space="preserve">ما نبودیم و تقاضامان نبود *** لطف تو ناگفتۀ ما می‌شنود</w:t>
      </w:r>
      <w:r>
        <w:rPr>
          <w:rStyle w:val="FootnoteReference"/>
        </w:rPr>
        <w:footnoteReference w:id="2"/>
      </w:r>
    </w:p>
    <w:p>
      <w:pPr/>
      <w:r>
        <w:rPr>
          <w:rtl w:val="0"/>
          <w:lang w:val="fa-IR"/>
        </w:rPr>
        <w:t xml:space="preserve">ما اصلاً چه کسی بودیم؟ کجا بودیم؟! ما نبودیم و تقاضامان نبود! ما اصلاً اختیارى نداشتیم، خودمان نبودیم که حالا بخواهیم حرف بزنیم! نبودیم که بخواهیم گوش بدهیم! نبودیم که بخواهیم ببینیم! نبودیم که بخواهیم کارى انجام دهیم و التماسى کنیم؛ توجه کردید؟!</w:t>
      </w:r>
      <w:r>
        <w:rPr>
          <w:rStyle w:val="FootnoteReference"/>
        </w:rPr>
        <w:footnoteReference w:id="3"/>
      </w:r>
    </w:p>
    <w:p>
      <w:pPr>
        <w:pStyle w:val="Heading3"/>
      </w:pPr>
      <w:r>
        <w:rPr>
          <w:rtl w:val="0"/>
          <w:lang w:val="fa-IR"/>
        </w:rPr>
        <w:t xml:space="preserve">تبیین مسیر و سیر تربیتی انسان در دعای عرفه</w:t>
      </w:r>
    </w:p>
    <w:p>
      <w:pPr/>
      <w:r>
        <w:rPr>
          <w:rtl w:val="0"/>
          <w:lang w:val="fa-IR"/>
        </w:rPr>
        <w:t xml:space="preserve">خیلی دعای عجیبی است! اصلاً مثل دعای ابی‌حمزۀ ثمالی، حضرت تمام خصوصیّات و شراشر وجود انسان و مسائل و مراتب و همه را رو می‌آورند و برای انسان شرح و توضیح می‌دهند. در قبال پروردگار خود را عرضه می‌دارد که من این هستم، من این‌طور بودم، این‌طور بودم، از عدم مرا به وجود آوردی، دست مرا گرفتی و در دامان تربیت بزرگان و اولیاء خودت مرا تربیت کردی، راه را به من نشان دادی.</w:t>
      </w:r>
    </w:p>
    <w:p>
      <w:pPr/>
      <w:r>
        <w:rPr>
          <w:rtl/>
          <w:lang w:val="fa-IR"/>
        </w:rPr>
        <w:t xml:space="preserve">واقعاً وقتی که انسان این دعا را می‌خواند به یاد خودش نمی‌افتد؟! خودش چه بوده؟! الآن کجاست؟! خدا می‌توانست راه و نقشۀ دیگری برای او درست کند، که اینجا نباشد، در این مکتب نباشد، بر سر این سفره نباشد؛ می‌شد یا نمی‌شد؟! اما خدا نکرد! [بلکه] هرکس را به‌تناسب حال و موقعیت خودش آورد، آورد، پیچاند، پیچاند‌ [تا به موقعیت کنونی‌اش رساند]. وقتی شما دعای روز عرفه را می‌خوانید، انگار اصلاً امام حسین از ما حرف می‌زند و ما را رو می‌ریزد! آن‌وقت آدم قدر می‌داند.</w:t>
      </w:r>
    </w:p>
    <w:p>
      <w:pPr/>
      <w:r>
        <w:rPr>
          <w:rtl w:val="0"/>
          <w:lang w:val="fa-IR"/>
        </w:rPr>
        <w:t xml:space="preserve">دعای روز عرفه می‌گوید: «بله؛ حواست باشد! کسی که این فکر را در مغز تو انداخت چه کسی بود؟! آن‌کسی که این تمایل را در قلب تو قرار داد چه کسی بود؟! آن‌کسی که نفرت و دوری از دنیا و تعلقات دنیا را در قلب تو قرار داد چه کسی بود؟! آن بزرگان که آمدند و تزریق کردند، حک کردند، تزریق کردند، انشاء کردند، املاء کردند، بیان کردند، آنها بودند! مگر از خودت آوردی؟! اگر از خودت است، بسم‌اللَه!» خدا می‌گوید: «می‌خواهی به تو بفهمانم که توفیق دست خودت نیست؟!» یک‌دفعه می‌بینید یک‌‌جا پای آدم می‌لغزد؛ ای وای! [افکار و اعمالِ او] هم دارد مثل دیگری [که به راه خدا تمایلی ندارد] می‌شود! بگو: «خدایا غلط کردیم؛ همان تو درست می‌گویی؛ توبه کردیم!»</w:t>
      </w:r>
    </w:p>
    <w:p>
      <w:pPr/>
      <w:r>
        <w:rPr>
          <w:rtl w:val="0"/>
          <w:lang w:val="fa-IR"/>
        </w:rPr>
        <w:t xml:space="preserve">دعای روز عرفه خیلی مهم است. و برای انسان هم دیگر فرصتی پیش نمی‌آید! انسان باید از این فرصت‌ها استفاده کند.</w:t>
      </w:r>
      <w:r>
        <w:rPr>
          <w:rStyle w:val="FootnoteReference"/>
        </w:rPr>
        <w:footnoteReference w:id="4"/>
      </w:r>
    </w:p>
    <w:p>
      <w:pPr>
        <w:pStyle w:val="Heading3"/>
      </w:pPr>
      <w:r>
        <w:rPr>
          <w:rtl w:val="0"/>
          <w:lang w:val="fa-IR"/>
        </w:rPr>
        <w:t xml:space="preserve">ظهور مقامِ عبودیّت محضۀ سیدالشهداء، در دعای عرفه</w:t>
      </w:r>
    </w:p>
    <w:p>
      <w:pPr/>
      <w:r>
        <w:rPr>
          <w:rtl w:val="0"/>
          <w:lang w:val="fa-IR"/>
        </w:rPr>
        <w:t xml:space="preserve">سیدالشهداء در مقام عبودیّت محضه، در عین احاطۀ عِلّى و احاطۀ ولائى، در در جمع بین این دو رتبه آمده این دعا را فرموده است. از یک طرف در مقام ولایت و در مقام امامت و در مقام اشراف کلّى و عِلّى بر همۀ عالم وجود، و از یک طرف در عبودیّت محض و صفرِ صفر! شما این دعاى عرفه را بخوانید، اصلاً مگر ممکن است کسى صفرتر و فقیرتر و محتاج‌تر از گوینده و انشاءکننده ‌چنین دعایى وجود داشته باشد؟! و باید هم این‌طور باشد! مگر حضرت مى‌تواند خودش را در مقابل خدا مطرح کند؟! مگر حضرت مى‌تواند در مقابل خدا عرض اندام کند و خودش را به حساب بیاورد؟! مسئله این است که باعث تأثیر این ادعیه مى‌شود.</w:t>
      </w:r>
    </w:p>
    <w:p>
      <w:pPr/>
      <w:r>
        <w:rPr>
          <w:rtl w:val="0"/>
          <w:lang w:val="fa-IR"/>
        </w:rPr>
        <w:t xml:space="preserve">ادعیه‌اى که بزرگان و اولیاى الهى مى‌گویند، همین است. ما حالا مرتّب از خودمان دعا درست مى‌کنیم، زیارت‌نامه درست مى‌کنیم! این زیارت‌نامه‌ها و دعاها، همه برخاسته از نفس ماست، نه از آن روح قدسى! تفاوت دعا و کلامی که از معصوم علیه‌السلام صادر مى‌شود با کلامى که از ما صادر مى‌شود، تفاوت جوهری است. در دعایى که او مى‌کند، حقیقتِ محضه و عبودیّتِ محضه نهفته است، و دعایى که ما مى‌کنیم آمیخته با تصوّراتمان، تعلّقاتمان، سلیقه‌هایمان و کم‌و‌زیاد کردن‌هایمان است.</w:t>
      </w:r>
    </w:p>
    <w:p>
      <w:pPr>
        <w:pStyle w:val="Heading2"/>
      </w:pPr>
      <w:r>
        <w:rPr>
          <w:rtl w:val="0"/>
          <w:lang w:val="fa-IR"/>
        </w:rPr>
        <w:t xml:space="preserve">کیفیت خواندن ادعیه</w:t>
      </w:r>
    </w:p>
    <w:p>
      <w:pPr/>
      <w:r>
        <w:rPr>
          <w:rtl w:val="0"/>
          <w:lang w:val="fa-IR"/>
        </w:rPr>
        <w:t xml:space="preserve">من مى‌بینم که رفقا، دعا را تند مى‌خوانند و می‌روند. روى جملات دعا باید با‌ تأنّى جلو رفت که آن مفاهیم دعا تأثیر بگذارد. انسان که [مثلاً] دعاى افتتاح مى‌خواند، اگر همین‌طور تند و گذرا بخواند، نمى‌فهمد افتتاح آن چطور شد و اختتامش چطور شد! ولى اگر با تأنّى بخواند و طول بدهد و آنهایی که خیلى با عربیّت آشنا نیستند هم قبلاً دعا را گوش داده باشند و به معانى آن نگاه کرده باشند، البته در انسان مؤثّرتر است. ما خیال می‌کنیم که دعا یعنى فقط یک چیزى بخوانیم و بعد این دعا تمام شود و بگوییم «خُب دعاى افتتاح را امشب خواندیم و به فیضش رسیدیم!» فیض دعاى افتتاح به آرام خواندنش است، به این است که انسان آهسته و با تأنّى بخواند.</w:t>
      </w:r>
      <w:r>
        <w:rPr>
          <w:rStyle w:val="FootnoteReference"/>
        </w:rPr>
        <w:footnoteReference w:id="5"/>
      </w:r>
    </w:p>
    <w:p>
      <w:pPr/>
      <w:r>
        <w:rPr>
          <w:rtl/>
          <w:lang w:val="fa-IR"/>
        </w:rPr>
        <w:t xml:space="preserve">دعای عرفه دعایى است که باید با توجه و با تأمّل خوانده شود، نه در جاهاى شلوغ و پُرسروصدا؛ که دعا مى‌خوانند و وسطِ دعا شروع مى‌کنند ترجمه کردن، روضه خواندن و غیره که اینها خراب مى‌کند. دعا را همان‌طور که ائمه فرموده‌اند باید خواند. البته انسان باید به معانى این ادعیه توجّه داشته باشد، اما اینکه مثلاً ‏شخص دعاى کمیل مى‌خواند، یک‌دفعه وسط دعا شروع مى‌کند به نصیحت کردن [صحیح نیست]. آخر به تو چه [ارتباطی دارد] که نصیحت می‌کنی؟! دعایت را بخوان! اصلاً حالِ مجلس و دعا و همه‌‌چیز گرفته مى‌شود و آن شخص هم خدا می‌داند که خودش در چه وضعیتى است! همان دعا را به همان کیفیت، بدون پرداختن به روضه و شعر و نصیحت و غیره بخوان، نصیحت خود را برو جاهاى دیگر بکن!</w:t>
      </w:r>
    </w:p>
    <w:p>
      <w:pPr/>
      <w:r>
        <w:rPr>
          <w:rtl w:val="0"/>
          <w:lang w:val="fa-IR"/>
        </w:rPr>
        <w:t xml:space="preserve">انسان باید همان‌طور که امام [این فقرات دعا را] به پروردگار عرضه مى‌کند، همان‌طور به این دعا توجه داشته باشد. نه در جاى شلوغ و پُرسرو‌صدا؛ اینها همه باعث مى‏شود که اثرات دعا در نفس کم شود و تأثیر خودش را نگذارد. دعا نباید تند خوانده شود؛ دعاى تند فایده‏اى ندارد. مگر کارت‌زدن در اداره است که دعا سریع تمام شود؟! دعا باید با طمأنینه باشد، باید با صداى کشیده باشد [تا] این کلمات یک‌به‌یک برود و به جان انسان بنشیند. امام این دعا را به پروردگار عرضه داشته، این دعا از زبان وحى آمده، کلمه‌کلمۀ این عبارات روى حساب است. [نباید گمان کنیم] حضرت روز عرفات ایستاده [پس ما نیز] همین‌طور [بدون توجه] بگوییم و بگوییم! مگر ایشان مثل ماست؟!</w:t>
      </w:r>
    </w:p>
    <w:p>
      <w:pPr/>
      <w:r>
        <w:rPr>
          <w:rtl w:val="0"/>
          <w:lang w:val="fa-IR"/>
        </w:rPr>
        <w:t xml:space="preserve">لذا رفقا در دعاى روز عرفه خیلى اهتمام داشته باشند که بتوانند در جاى خلوت، یا [با حضور] چند نفر، شخصی بخواند و دیگران گوش دهند؛ نه‌اینکه [به عبارات] نگاه کنند؛ [اگر] نگاه کنند، فایده ندارد و خراب مى‌کند. [بلکه] یک نفر بخواند و دیگران گوش دهند و در دلشان آن دعا را بخوانند. این تأثیرش‏ بیشتر از این است که به متن دعا نگاه کنند. و باید در حالِ سکوت و توجه باشد. سعى نکنند زود تمام شود، این‌گونه نباشد که [با خود بگویند] «بالأخره دستورالعمل است و باید خواند و تمامش کرد!» این حالت‌ها فایده‌اى ندارد و آن اثر را ندارد.</w:t>
      </w:r>
      <w:r>
        <w:rPr>
          <w:rStyle w:val="FootnoteReference"/>
        </w:rPr>
        <w:footnoteReference w:id="6"/>
      </w:r>
    </w:p>
    <w:p>
      <w:pPr>
        <w:pStyle w:val="Heading2"/>
      </w:pPr>
      <w:r>
        <w:rPr>
          <w:rtl w:val="0"/>
          <w:lang w:val="fa-IR"/>
        </w:rPr>
        <w:t xml:space="preserve">بررسی سندی و محتوایی فقره آخر دعای عرفه</w:t>
      </w:r>
    </w:p>
    <w:p>
      <w:pPr/>
      <w:r>
        <w:rPr>
          <w:rtl w:val="0"/>
          <w:lang w:val="fa-IR"/>
        </w:rPr>
        <w:t xml:space="preserve">باید توجه داشته باشیم آن قسمت آخر به این دعا ارتباط ندارد، گرچه داراى مضامین بسیار عالیه است. وقتى که حضرت عرضه مى‌دارند: </w:t>
      </w:r>
      <w:r>
        <w:rPr>
          <w:rStyle w:val="RevayatArabi"/>
          <w:rtl w:val="0"/>
          <w:lang w:val="fa-IR"/>
        </w:rPr>
        <w:t xml:space="preserve">«يَا رَبِّ يَا رَبِّ يَا رَب‏»</w:t>
      </w:r>
      <w:r>
        <w:rPr>
          <w:rtl w:val="0"/>
          <w:lang w:val="fa-IR"/>
        </w:rPr>
        <w:t xml:space="preserve">، دیگر همۀ درخواست‌ها عرضه شد و معلوم است که دعا تمام شد؛ حالا نمى‌دانم آن اضافه از کجا آمده</w:t>
      </w:r>
      <w:r>
        <w:rPr>
          <w:rStyle w:val="FootnoteReference"/>
        </w:rPr>
        <w:footnoteReference w:id="7"/>
      </w:r>
      <w:r>
        <w:rPr>
          <w:rtl w:val="0"/>
          <w:lang w:val="fa-IR"/>
        </w:rPr>
        <w:t xml:space="preserve">.</w:t>
      </w:r>
      <w:r>
        <w:rPr>
          <w:rStyle w:val="FootnoteReference"/>
        </w:rPr>
        <w:footnoteReference w:id="8"/>
      </w:r>
      <w:r>
        <w:rPr>
          <w:rtl w:val="0"/>
          <w:lang w:val="fa-IR"/>
        </w:rPr>
        <w:t xml:space="preserve">.</w:t>
      </w:r>
      <w:r>
        <w:rPr>
          <w:rStyle w:val="FootnoteReference"/>
        </w:rPr>
        <w:footnoteReference w:id="9"/>
      </w:r>
    </w:p>
    <w:p>
      <w:pPr>
        <w:pStyle w:val="Heading2"/>
      </w:pPr>
      <w:r>
        <w:rPr>
          <w:rtl w:val="0"/>
          <w:lang w:val="fa-IR"/>
        </w:rPr>
        <w:t xml:space="preserve">اعمال شب عرفه</w:t>
      </w:r>
    </w:p>
    <w:p>
      <w:pPr>
        <w:pStyle w:val="Heading3"/>
      </w:pPr>
      <w:r>
        <w:rPr>
          <w:rtl w:val="0"/>
          <w:lang w:val="fa-IR"/>
        </w:rPr>
        <w:t xml:space="preserve">1. توبه</w:t>
      </w:r>
    </w:p>
    <w:p>
      <w:pPr/>
      <w:r>
        <w:rPr>
          <w:rtl w:val="0"/>
          <w:lang w:val="fa-IR"/>
        </w:rPr>
        <w:t xml:space="preserve">کسی که در این شب توبه کند مورد مغفرت الهی قرار می‌گیرد.</w:t>
      </w:r>
      <w:r>
        <w:rPr>
          <w:rStyle w:val="FootnoteReference"/>
        </w:rPr>
        <w:footnoteReference w:id="10"/>
      </w:r>
    </w:p>
    <w:p>
      <w:pPr>
        <w:pStyle w:val="Heading3"/>
      </w:pPr>
      <w:r>
        <w:rPr>
          <w:rtl w:val="0"/>
          <w:lang w:val="fa-IR"/>
        </w:rPr>
        <w:t xml:space="preserve">2. زیارت سیدالشهداء علیه‌السّلام</w:t>
      </w:r>
    </w:p>
    <w:p>
      <w:pPr/>
      <w:r>
        <w:rPr>
          <w:rtl w:val="0"/>
          <w:lang w:val="fa-IR"/>
        </w:rPr>
        <w:t xml:space="preserve">شب عرفه، شب بسیاربسیار مهمى است. زیارت سیدالشهداء در شب عرفه وارد است. بزرگان، اولیاء خدا، مرحوم آقاى حداد در شب عرفه که مى‌شد زیارت سیدالشهداء علیه‌السلام را مى‌خواندند و به شاگردانشان هم خواندن این زیارت شب عرفه را دستور مى‌دادند. افرادى هم که آنجا [در کربلا] مشرّف هستند، حساب‌و‌کتابشان بسیار بسیار پُر و با نعمات و با الطاف بسیار فائزى است. خداوند همه را توفیق دهد که مشرّف باشند؛ اگر هم نه، باز مطلب به‌جاى خودش‏ باقى است.</w:t>
      </w:r>
    </w:p>
    <w:p>
      <w:pPr/>
      <w:r>
        <w:rPr>
          <w:rtl w:val="0"/>
          <w:lang w:val="fa-IR"/>
        </w:rPr>
        <w:t xml:space="preserve">ولایت امام علیه‌السلام، ولایتِ سِعى است و اختصاص به جایى، دونِ جایى ندارد. آن با دل‌ها مرتبط است و دل‌هایی را که قابل و لایق باشند، به‌سمت خودش مى‌کشاند. انسان از هرجا وقتی به آن حضرت توسل پیدا کند، در حرم سیدالشهداء واقع می‌شود؛ مانند آنکه در همان‌جاست. مهم این است که انسان خود را به آن کانون متّصل کند.</w:t>
      </w:r>
      <w:r>
        <w:rPr>
          <w:rStyle w:val="FootnoteReference"/>
        </w:rPr>
        <w:footnoteReference w:id="11"/>
      </w:r>
    </w:p>
    <w:p>
      <w:pPr/>
      <w:r>
        <w:rPr>
          <w:rtl w:val="0"/>
          <w:lang w:val="fa-IR"/>
        </w:rPr>
        <w:t xml:space="preserve">در روایات داریم که خداوند متعال در شب عرفه قبل از اینکه به حجاج نظر بیندازد، اول به زوّار سیدالشهداء نظر می‌اندازد.</w:t>
      </w:r>
      <w:r>
        <w:rPr>
          <w:rStyle w:val="FootnoteReference"/>
        </w:rPr>
        <w:footnoteReference w:id="12"/>
      </w:r>
    </w:p>
    <w:p>
      <w:pPr>
        <w:pStyle w:val="Heading3"/>
      </w:pPr>
      <w:r>
        <w:rPr>
          <w:rtl w:val="0"/>
          <w:lang w:val="fa-IR"/>
        </w:rPr>
        <w:t xml:space="preserve">3. دعای </w:t>
      </w:r>
      <w:r>
        <w:rPr>
          <w:rStyle w:val="RevayatArabi"/>
          <w:rtl w:val="0"/>
          <w:lang w:val="fa-IR"/>
        </w:rPr>
        <w:t xml:space="preserve">«اللَهمَّ يا شاهِدَ كُلِّ نَجوىٰ‏»</w:t>
      </w:r>
    </w:p>
    <w:p>
      <w:pPr/>
      <w:r>
        <w:rPr>
          <w:rtl w:val="0"/>
          <w:lang w:val="fa-IR"/>
        </w:rPr>
        <w:t xml:space="preserve">مستحب است دعای </w:t>
      </w:r>
      <w:r>
        <w:rPr>
          <w:rStyle w:val="RevayatArabi"/>
          <w:rtl w:val="0"/>
          <w:lang w:val="fa-IR"/>
        </w:rPr>
        <w:t xml:space="preserve">«اللَهُمَّ يا شَاهِدَ كُلِّ نَجوىٰ‏»</w:t>
      </w:r>
      <w:r>
        <w:rPr>
          <w:rtl w:val="0"/>
          <w:lang w:val="fa-IR"/>
        </w:rPr>
        <w:t xml:space="preserve"> در این شب خوانده شود.</w:t>
      </w:r>
      <w:r>
        <w:rPr>
          <w:rStyle w:val="FootnoteReference"/>
        </w:rPr>
        <w:footnoteReference w:id="13"/>
      </w:r>
    </w:p>
    <w:p>
      <w:pPr>
        <w:pStyle w:val="Heading2"/>
      </w:pPr>
      <w:r>
        <w:rPr>
          <w:rtl w:val="0"/>
          <w:lang w:val="fa-IR"/>
        </w:rPr>
        <w:t xml:space="preserve">اعمال روز عرفه</w:t>
      </w:r>
    </w:p>
    <w:p>
      <w:pPr>
        <w:pStyle w:val="Heading3"/>
      </w:pPr>
      <w:r>
        <w:rPr>
          <w:rtl w:val="0"/>
          <w:lang w:val="fa-IR"/>
        </w:rPr>
        <w:t xml:space="preserve">1.زیارت سیدالشهداء علیه‌السّلام</w:t>
      </w:r>
    </w:p>
    <w:p>
      <w:pPr/>
      <w:r>
        <w:rPr>
          <w:rStyle w:val="Arabi"/>
          <w:rtl w:val="0"/>
          <w:lang w:val="fa-IR"/>
        </w:rPr>
        <w:t xml:space="preserve">عن الصادق علیه‌السّلام:</w:t>
      </w:r>
    </w:p>
    <w:p>
      <w:pPr>
        <w:pStyle w:val="NaghlegholMatn"/>
      </w:pPr>
      <w:r>
        <w:rPr>
          <w:rStyle w:val="RevayatArabi"/>
          <w:rtl w:val="0"/>
          <w:lang w:val="fa-IR"/>
        </w:rPr>
        <w:t xml:space="preserve">مَن أتاهُ فی یَومِ عَرَفَةَ عارِفاً بِحَقِّهِ کُتِبَ لَهُ ألفُ حَجَّةٍ وَ ألفُ عُمرَةٍ مَقبولَةٍ.</w:t>
      </w:r>
    </w:p>
    <w:p>
      <w:pPr>
        <w:pStyle w:val="NaghlegholMatn"/>
      </w:pPr>
      <w:r>
        <w:rPr>
          <w:rtl w:val="0"/>
          <w:lang w:val="fa-IR"/>
        </w:rPr>
        <w:t xml:space="preserve">«هرکس در روز عرفه به زیارت امام حسین علیه‌السّلام برود، درحالی‌که عارف به جایگاه او باشد، پاداش هزار حج و هزار عمره پذیرفته‌شده برای او نوشته می‌شود.</w:t>
      </w:r>
      <w:r>
        <w:rPr>
          <w:rStyle w:val="FootnoteReference"/>
        </w:rPr>
        <w:footnoteReference w:id="14"/>
      </w:r>
    </w:p>
    <w:p>
      <w:pPr>
        <w:pStyle w:val="Heading3"/>
      </w:pPr>
      <w:r>
        <w:rPr>
          <w:rtl w:val="0"/>
          <w:lang w:val="fa-IR"/>
        </w:rPr>
        <w:t xml:space="preserve">2. روزه</w:t>
      </w:r>
    </w:p>
    <w:p>
      <w:pPr/>
      <w:r>
        <w:rPr>
          <w:rtl w:val="0"/>
          <w:lang w:val="fa-IR"/>
        </w:rPr>
        <w:t xml:space="preserve">روزه در روز عرفه بسیار سفارش شده است و در روایات صحیحه آمده است که روزۀ آن کفارۀ نود سال مى‌باشد.</w:t>
      </w:r>
      <w:r>
        <w:rPr>
          <w:rStyle w:val="FootnoteReference"/>
        </w:rPr>
        <w:footnoteReference w:id="15"/>
      </w:r>
    </w:p>
    <w:p>
      <w:pPr>
        <w:pStyle w:val="Heading3"/>
      </w:pPr>
      <w:r>
        <w:rPr>
          <w:rtl w:val="0"/>
          <w:lang w:val="fa-IR"/>
        </w:rPr>
        <w:t xml:space="preserve">3. قرائت دعای عرفه</w:t>
      </w:r>
    </w:p>
    <w:p>
      <w:pPr/>
      <w:r>
        <w:rPr>
          <w:rtl w:val="0"/>
          <w:lang w:val="fa-IR"/>
        </w:rPr>
        <w:t xml:space="preserve">در روز عرفه که در آن روزه بسیار بسیار تأکید شده است، و افراد عدیده‌اى گفته‌اند که در به‌خصوصِ روزۀ روز عرفه حقایقى براى آنها منکشف شده است. گرچه مرحوم آقا مى‌فرمودند:</w:t>
      </w:r>
    </w:p>
    <w:p>
      <w:pPr>
        <w:pStyle w:val="NaghlegholMatn"/>
      </w:pPr>
      <w:r>
        <w:rPr>
          <w:rtl w:val="0"/>
          <w:lang w:val="fa-IR"/>
        </w:rPr>
        <w:t xml:space="preserve">در روز عرفه یکى از امور بسیار مهم، پرداختن به دعاى سیدالشهداء در روز عرفه است و آن‌قدر این دعا مهم است که اگر کسى احساس مى‌کند با گرفتن روزه نمى‌تواند این دعا را بخواند، که دعا بر روزه مقدّم است.</w:t>
      </w:r>
      <w:r>
        <w:rPr>
          <w:rStyle w:val="FootnoteReference"/>
        </w:rPr>
        <w:footnoteReference w:id="16"/>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w:t>
      </w:r>
      <w:r>
        <w:rPr>
          <w:rtl w:val="0"/>
          <w:lang w:val="fa-IR"/>
        </w:rPr>
        <w:t xml:space="preserve"> (ط ـ الحديثة)، ج‏2، ص 75؛</w:t>
      </w:r>
      <w:r>
        <w:rPr>
          <w:rStyle w:val="RevayatArabi"/>
          <w:rtl w:val="0"/>
          <w:lang w:val="fa-IR"/>
        </w:rPr>
        <w:t xml:space="preserve"> ثُمَّ إِذْ خَلَقْتَنِى مِنْ خَیْرِ الثَّرىٰ، لَمْ تَرْضَ لِى یَا إِلٰهِى نِعْمَةً دُونَ أُخْرىٰ، وَرَزَقْتَنِى مِنْ أَنْواعِ الْمَعاشِ وَصُنُوفِ الرِّیاشِ بِمَنِّکَ الْعَظِیمِ الْأَعْظَمِ عَلَىَّ، وَ إِحْسانِکَ الْقَدِیمِ إِلَىَّ، حَتَّىٰ إِذا أَتْمَمْتَ عَلَىَّ جَمِیعَ النِّعَمِ وَصَرَفْتَ عَنِّى کُلَّ النِّقَمِ لَمْ یَمْنَعْکَ جَهْلِى وَجُرْأَتِى عَلَیْکَ أَنْ دَلَلْتَنِى إِلَىٰ مَا یُقَرِّبُنِى إِلَیْکَ، وَوَفَّقْتَنِى لِما یُزْ لِفُنِى لَدَیْکَ.</w:t>
      </w:r>
    </w:p>
  </w:footnote>
  <w:footnote w:id="2">
    <w:p>
      <w:pPr>
        <w:pStyle w:val="FootnoteText"/>
      </w:pPr>
      <w:r>
        <w:rPr>
          <w:rStyle w:val="FootnoteReference"/>
        </w:rPr>
        <w:footnoteRef/>
      </w:r>
      <w:r>
        <w:t xml:space="preserve"> </w:t>
      </w:r>
      <w:r>
        <w:rPr>
          <w:rtl w:val="0"/>
          <w:lang w:val="fa-IR"/>
        </w:rPr>
        <w:t xml:space="preserve">مثنوى معنوى</w:t>
      </w:r>
      <w:r>
        <w:rPr>
          <w:rtl w:val="0"/>
          <w:lang w:val="fa-IR"/>
        </w:rPr>
        <w:t xml:space="preserve">، دفتر اوّل.</w:t>
      </w:r>
    </w:p>
  </w:footnote>
  <w:footnote w:id="3">
    <w:p>
      <w:pPr>
        <w:pStyle w:val="FootnoteText"/>
      </w:pPr>
      <w:r>
        <w:rPr>
          <w:rStyle w:val="FootnoteReference"/>
        </w:rPr>
        <w:footnoteRef/>
      </w:r>
      <w:r>
        <w:t xml:space="preserve"> </w:t>
      </w:r>
      <w:r>
        <w:rPr>
          <w:rtl w:val="0"/>
          <w:lang w:val="fa-IR"/>
        </w:rPr>
        <w:t xml:space="preserve">شرح حدیث عنوان بصری، جلسۀ 162، شرح دعای ابوحمزۀ ثمالی، رمضان 1436 ه‍.ق، جلسۀ 8.</w:t>
      </w:r>
    </w:p>
  </w:footnote>
  <w:footnote w:id="4">
    <w:p>
      <w:pPr>
        <w:pStyle w:val="FootnoteText"/>
      </w:pPr>
      <w:r>
        <w:rPr>
          <w:rStyle w:val="FootnoteReference"/>
        </w:rPr>
        <w:footnoteRef/>
      </w:r>
      <w:r>
        <w:t xml:space="preserve"> </w:t>
      </w:r>
      <w:r>
        <w:rPr>
          <w:rtl w:val="0"/>
          <w:lang w:val="fa-IR"/>
        </w:rPr>
        <w:t xml:space="preserve">شرح حدیث عنوان بصری، جلسۀ 213.</w:t>
      </w:r>
    </w:p>
  </w:footnote>
  <w:footnote w:id="5">
    <w:p>
      <w:pPr>
        <w:pStyle w:val="FootnoteText"/>
      </w:pPr>
      <w:r>
        <w:rPr>
          <w:rStyle w:val="FootnoteReference"/>
        </w:rPr>
        <w:footnoteRef/>
      </w:r>
      <w:r>
        <w:t xml:space="preserve"> </w:t>
      </w:r>
      <w:r>
        <w:rPr>
          <w:rtl/>
          <w:lang w:val="fa-IR"/>
        </w:rPr>
        <w:t xml:space="preserve">طرح مبانی اسلام، جلسه با موضوع «کیفیت قرائت قرآن و ادعیه و اذکار سلوکی».</w:t>
      </w:r>
    </w:p>
  </w:footnote>
  <w:footnote w:id="6">
    <w:p>
      <w:pPr>
        <w:pStyle w:val="FootnoteText"/>
      </w:pPr>
      <w:r>
        <w:rPr>
          <w:rStyle w:val="FootnoteReference"/>
        </w:rPr>
        <w:footnoteRef/>
      </w:r>
      <w:r>
        <w:t xml:space="preserve"> </w:t>
      </w:r>
      <w:r>
        <w:rPr>
          <w:rtl w:val="0"/>
          <w:lang w:val="fa-IR"/>
        </w:rPr>
        <w:t xml:space="preserve">شرح حدیث عنوان بصری، جلسۀ 202.</w:t>
      </w:r>
    </w:p>
  </w:footnote>
  <w:footnote w:id="7">
    <w:p>
      <w:pPr>
        <w:pStyle w:val="FootnoteText"/>
      </w:pPr>
      <w:r>
        <w:rPr>
          <w:rStyle w:val="FootnoteReference"/>
        </w:rPr>
        <w:footnoteRef/>
      </w:r>
      <w:r>
        <w:t xml:space="preserve"> </w:t>
      </w:r>
      <w:r>
        <w:rPr>
          <w:rtl w:val="0"/>
          <w:lang w:val="fa-IR"/>
        </w:rPr>
        <w:t xml:space="preserve">شرح حدیث عنوان بصری، جلسۀ 202 (ادامۀ مطلب):</w:t>
      </w:r>
    </w:p>
    <w:p>
      <w:pPr>
        <w:pStyle w:val="FootnoteText"/>
      </w:pPr>
      <w:r>
        <w:rPr>
          <w:rtl w:val="0"/>
          <w:lang w:val="fa-IR"/>
        </w:rPr>
        <w:t xml:space="preserve">البته مدت‏هاست که این موضوع به‌عنوان یک گمشده براى بنده است که دارم مى‌گردم و تحقیق مى‌کنم. این ذیل دعاى روز عرفه که مرحوم آقا شیخ عباس [قمی] در مفاتیح آورده و به‌واسطۀ یک نسخه از نسخه‌هاى الإقبال مرحوم سید‌بن‌طاووس آورده است، و هیچ نسخه دیگرى این ذیل را ندارد؛ فقط همان یک نسخه آن را دارد، براى بنده مسلّم است که این ذیل جزء دعاى روز عرفه نیست. اما این‌که حالا این ذیل مربوط به خود سیدالشهداء است و در جاهاى دیگر حضرت این را فرموده‌اند؟ یا اینکه این ذیل همان‌طورى که بعضى احتمال مى‌دهند، مربوط به ابن‌عطاء اسکندرى است که از بزرگان و عرفاى مصر بوده و در آن مناجات عطائیه‌اش، این کلمات آمده است؟ البته باز منسجم نیست، متفاوت است.</w:t>
      </w:r>
    </w:p>
    <w:p>
      <w:pPr>
        <w:pStyle w:val="FootnoteText"/>
      </w:pPr>
      <w:r>
        <w:rPr>
          <w:rtl w:val="0"/>
          <w:lang w:val="fa-IR"/>
        </w:rPr>
        <w:t xml:space="preserve">حالا آن شخصى که این قسمت را ملحق کرده به دعاى عرفه، در واقع از فقرات آن مناجات‌نامه ترکیب و مونتاژ کرده است. من بعید مى‌دانم خودِ ابن‌عطاء اسکندرى این کلمات را گفته باشد. به احتمال قوى و ظنّ قوى این عبارات عبارات معصوم است، منتها او آمده و در مناجات‌نامه خودش این کلمات را ذکر کرده است و اصلاً از بعضی فقراتش من که نمی‌توانم درک صحیحی داشته باشم، </w:t>
      </w:r>
      <w:r>
        <w:rPr>
          <w:rStyle w:val="RevayatArabi"/>
          <w:rtl w:val="0"/>
          <w:lang w:val="fa-IR"/>
        </w:rPr>
        <w:t xml:space="preserve">«إلَهى أنَا الْفَقيرُ فى غِناىَ فَكَيْفَ لا أكونُ فَقيراً فى فَقْرى»</w:t>
      </w:r>
      <w:r>
        <w:rPr>
          <w:rtl w:val="0"/>
          <w:lang w:val="fa-IR"/>
        </w:rPr>
        <w:t xml:space="preserve"> من معنای این را نمی‌فهمم چیست و به چه جهتی گفته می‌شود. حالا این چه غنایی است؟ چه فقری است؟ آیا امام علیه‌السّلام این فقر ظاهری را فقر به حساب می‌آورد؟ خلاصه دعا را نباید اضافه کرد.</w:t>
      </w:r>
    </w:p>
  </w:footnote>
  <w:footnote w:id="8">
    <w:p>
      <w:pPr>
        <w:pStyle w:val="FootnoteText"/>
      </w:pPr>
      <w:r>
        <w:rPr>
          <w:rStyle w:val="FootnoteReference"/>
        </w:rPr>
        <w:footnoteRef/>
      </w:r>
      <w:r>
        <w:t xml:space="preserve"> </w:t>
      </w:r>
      <w:r>
        <w:rPr>
          <w:rtl w:val="0"/>
          <w:lang w:val="fa-IR"/>
        </w:rPr>
        <w:t xml:space="preserve">شرح حدیث عنوان بصری، جلسۀ 202 و 213.</w:t>
      </w:r>
    </w:p>
  </w:footnote>
  <w:footnote w:id="9">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الله شناسی</w:t>
      </w:r>
      <w:r>
        <w:rPr>
          <w:rtl w:val="0"/>
          <w:lang w:val="fa-IR"/>
        </w:rPr>
        <w:t xml:space="preserve">، ج 1، ص 268 ـ 273.</w:t>
      </w:r>
    </w:p>
  </w:footnote>
  <w:footnote w:id="10">
    <w:p>
      <w:pPr>
        <w:pStyle w:val="FootnoteText"/>
      </w:pPr>
      <w:r>
        <w:rPr>
          <w:rStyle w:val="FootnoteReference"/>
        </w:rPr>
        <w:footnoteRef/>
      </w:r>
      <w:r>
        <w:t xml:space="preserve"> </w:t>
      </w:r>
      <w:r>
        <w:rPr>
          <w:rtl w:val="0"/>
          <w:lang w:val="fa-IR"/>
        </w:rPr>
        <w:t xml:space="preserve">المراقبات</w:t>
      </w:r>
      <w:r>
        <w:rPr>
          <w:rtl w:val="0"/>
          <w:lang w:val="fa-IR"/>
        </w:rPr>
        <w:t xml:space="preserve">، ترجمه ابراهیم محدث بندرریگی، ص 438؛ </w:t>
      </w:r>
      <w:r>
        <w:rPr>
          <w:rtl w:val="0"/>
          <w:lang w:val="fa-IR"/>
        </w:rPr>
        <w:t xml:space="preserve">زاد المعاد،</w:t>
      </w:r>
      <w:r>
        <w:rPr>
          <w:rtl w:val="0"/>
          <w:lang w:val="fa-IR"/>
        </w:rPr>
        <w:t xml:space="preserve"> ج ۱, ص ۱۶۶؛ و رُوِيَ عن النّبيّ (صلّی الله علیه و آله و سلّم): </w:t>
      </w:r>
      <w:r>
        <w:rPr>
          <w:rStyle w:val="RevayatArabi"/>
          <w:rtl w:val="0"/>
          <w:lang w:val="fa-IR"/>
        </w:rPr>
        <w:t xml:space="preserve">أنَّ الدُّعاءَ في لَيلةِ عَرَفَةَ مُستَجابٌ، وَ مَن أحياها بِالعِبادةِ فَلَه أجرُ عِبادَةِ مِائَة وَ سَبعِين سَنَةً، وَ هيَ لَيلَةُ المُناجاةِ مَعَ قاضي الحاجاتِ، وَ مَن تابَ في هَذهِ اللَّيلةِ قُبِلَتْ تَوبَتُه.</w:t>
      </w:r>
    </w:p>
  </w:footnote>
  <w:footnote w:id="11">
    <w:p>
      <w:pPr>
        <w:pStyle w:val="FootnoteText"/>
      </w:pPr>
      <w:r>
        <w:rPr>
          <w:rStyle w:val="FootnoteReference"/>
        </w:rPr>
        <w:footnoteRef/>
      </w:r>
      <w:r>
        <w:t xml:space="preserve"> </w:t>
      </w:r>
      <w:r>
        <w:rPr>
          <w:rtl w:val="0"/>
          <w:lang w:val="fa-IR"/>
        </w:rPr>
        <w:t xml:space="preserve">شرح حدیث عنوان بصری، جلسۀ 162 و 137.</w:t>
      </w:r>
    </w:p>
  </w:footnote>
  <w:footnote w:id="12">
    <w:p>
      <w:pPr>
        <w:pStyle w:val="FootnoteText"/>
      </w:pPr>
      <w:r>
        <w:rPr>
          <w:rStyle w:val="FootnoteReference"/>
        </w:rPr>
        <w:footnoteRef/>
      </w:r>
      <w:r>
        <w:t xml:space="preserve"> </w:t>
      </w:r>
      <w:r>
        <w:rPr>
          <w:rtl w:val="0"/>
          <w:lang w:val="fa-IR"/>
        </w:rPr>
        <w:t xml:space="preserve">کامل الزیارات</w:t>
      </w:r>
      <w:r>
        <w:rPr>
          <w:rtl w:val="0"/>
          <w:lang w:val="fa-IR"/>
        </w:rPr>
        <w:t xml:space="preserve">، ص 170؛ </w:t>
      </w:r>
      <w:r>
        <w:rPr>
          <w:rStyle w:val="Arabi"/>
          <w:rtl w:val="0"/>
          <w:lang w:val="fa-IR"/>
        </w:rPr>
        <w:t xml:space="preserve">عن الصادق علیه‌السّلام:</w:t>
      </w:r>
      <w:r>
        <w:rPr>
          <w:rtl w:val="0"/>
          <w:lang w:val="fa-IR"/>
        </w:rPr>
        <w:t xml:space="preserve"> </w:t>
      </w:r>
      <w:r>
        <w:rPr>
          <w:rStyle w:val="RevayatArabi"/>
          <w:rtl w:val="0"/>
          <w:lang w:val="fa-IR"/>
        </w:rPr>
        <w:t xml:space="preserve">إنَّ اللَهَ تَبارَکَ وَ تَعالَى یَتَجَلَّى لِزوّارِ قَبرِ الحُسَینِ علیه‌السلام قَبلَ أهلِ عَرَفاتٍ وَ یَقضی حَوائِجَهُم وَ یَغفِرُ ذُنوبَهُم.</w:t>
      </w:r>
    </w:p>
    <w:p>
      <w:pPr>
        <w:pStyle w:val="FootnoteText"/>
      </w:pPr>
      <w:r>
        <w:rPr>
          <w:rtl w:val="0"/>
          <w:lang w:val="fa-IR"/>
        </w:rPr>
        <w:t xml:space="preserve">امام صادق علیه‌السّلام فرمود: خداوند تبارک و تعالى پیش از اهل «عرفات» براى زائران امام حسین علیه‌السّلام تجلى نموده و حوائج آنان را برآورده و گناهانشان را مى‌آمرزد.</w:t>
      </w:r>
    </w:p>
  </w:footnote>
  <w:footnote w:id="13">
    <w:p>
      <w:pPr>
        <w:pStyle w:val="FootnoteText"/>
      </w:pPr>
      <w:r>
        <w:rPr>
          <w:rStyle w:val="FootnoteReference"/>
        </w:rPr>
        <w:footnoteRef/>
      </w:r>
      <w:r>
        <w:t xml:space="preserve"> </w:t>
      </w:r>
      <w:r>
        <w:rPr>
          <w:rtl w:val="0"/>
          <w:lang w:val="fa-IR"/>
        </w:rPr>
        <w:t xml:space="preserve">إقبال الأعمال</w:t>
      </w:r>
      <w:r>
        <w:rPr>
          <w:rtl w:val="0"/>
          <w:lang w:val="fa-IR"/>
        </w:rPr>
        <w:t xml:space="preserve"> (ط ـ الحديثة)، ج‏2، ص 5؛ </w:t>
      </w:r>
      <w:r>
        <w:rPr>
          <w:rtl w:val="0"/>
          <w:lang w:val="fa-IR"/>
        </w:rPr>
        <w:t xml:space="preserve">معاد شناسى</w:t>
      </w:r>
      <w:r>
        <w:rPr>
          <w:rtl w:val="0"/>
          <w:lang w:val="fa-IR"/>
        </w:rPr>
        <w:t xml:space="preserve">، ج ‏3، ص 155.</w:t>
      </w:r>
    </w:p>
  </w:footnote>
  <w:footnote w:id="14">
    <w:p>
      <w:pPr>
        <w:pStyle w:val="FootnoteText"/>
      </w:pPr>
      <w:r>
        <w:rPr>
          <w:rStyle w:val="FootnoteReference"/>
        </w:rPr>
        <w:footnoteRef/>
      </w:r>
      <w:r>
        <w:t xml:space="preserve"> </w:t>
      </w:r>
      <w:r>
        <w:rPr>
          <w:rtl w:val="0"/>
          <w:lang w:val="fa-IR"/>
        </w:rPr>
        <w:t xml:space="preserve">کامل الزیارات</w:t>
      </w:r>
      <w:r>
        <w:rPr>
          <w:rtl w:val="0"/>
          <w:lang w:val="fa-IR"/>
        </w:rPr>
        <w:t xml:space="preserve">، ص 169.</w:t>
      </w:r>
    </w:p>
  </w:footnote>
  <w:footnote w:id="15">
    <w:p>
      <w:pPr>
        <w:pStyle w:val="FootnoteText"/>
      </w:pPr>
      <w:r>
        <w:rPr>
          <w:rStyle w:val="FootnoteReference"/>
        </w:rPr>
        <w:footnoteRef/>
      </w:r>
      <w:r>
        <w:t xml:space="preserve"> </w:t>
      </w:r>
      <w:r>
        <w:rPr>
          <w:rtl w:val="0"/>
          <w:lang w:val="fa-IR"/>
        </w:rPr>
        <w:t xml:space="preserve">المراقبات</w:t>
      </w:r>
      <w:r>
        <w:rPr>
          <w:rtl w:val="0"/>
          <w:lang w:val="fa-IR"/>
        </w:rPr>
        <w:t xml:space="preserve">، ترجمه ابراهیم محدث بندرریگی، ص 440؛ </w:t>
      </w:r>
      <w:r>
        <w:rPr>
          <w:rtl w:val="0"/>
          <w:lang w:val="fa-IR"/>
        </w:rPr>
        <w:t xml:space="preserve">من لا يحضره الفقيه</w:t>
      </w:r>
      <w:r>
        <w:rPr>
          <w:rtl w:val="0"/>
          <w:lang w:val="fa-IR"/>
        </w:rPr>
        <w:t xml:space="preserve">، ج ‏2، ص 87؛ وَ رُوِيَ: </w:t>
      </w:r>
      <w:r>
        <w:rPr>
          <w:rStyle w:val="RevayatArabi"/>
          <w:rtl w:val="0"/>
          <w:lang w:val="fa-IR"/>
        </w:rPr>
        <w:t xml:space="preserve">أنَّ في أوّلِ يَومٍ مِن ذي الحِجَّةِ وُلِدَ إبراهيمُ خَليلُ الرَّحمٰنِ علیه‌السلام فَمَن صامَ ذَلِكَ اليَومَ كانَ كَفّارَةَ سِتِّينَ سَنَة وَ في تِسعٍ مِن ذي الحِجَّةِ أُنزِلَتْ تَوبةُ دَاوُدَ علیه‌السلام فَمَنْ صامَ ذَلِكَ اليَومَ كانَ كَفّارَةَ تِسْعِينَ سَنَة</w:t>
      </w:r>
      <w:r>
        <w:rPr>
          <w:rtl w:val="0"/>
          <w:lang w:val="fa-IR"/>
        </w:rPr>
        <w:t xml:space="preserve">.</w:t>
      </w:r>
    </w:p>
  </w:footnote>
  <w:footnote w:id="16">
    <w:p>
      <w:pPr>
        <w:pStyle w:val="FootnoteText"/>
      </w:pPr>
      <w:r>
        <w:rPr>
          <w:rStyle w:val="FootnoteReference"/>
        </w:rPr>
        <w:footnoteRef/>
      </w:r>
      <w:r>
        <w:t xml:space="preserve"> </w:t>
      </w:r>
      <w:r>
        <w:rPr>
          <w:rtl w:val="0"/>
          <w:lang w:val="fa-IR"/>
        </w:rPr>
        <w:t xml:space="preserve">شرح حدیث عنوان بصری، جلسۀ 202.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