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عید قربان و اعمال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معنای حقیقی عید</w:t>
      </w:r>
    </w:p>
    <w:p>
      <w:pPr/>
      <w:r>
        <w:rPr>
          <w:rtl w:val="0"/>
          <w:lang w:val="fa-IR"/>
        </w:rPr>
        <w:t xml:space="preserve">عید یعنی چه؟ عید یعنی روزی که انسان شیرینی بخورد و شکلات بخورد و بستنی بخورد و دست بزند؟! و یا اینکه مثل سابق که در روز عید نوروز، حاجی‌نوروز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w:t>
      </w:r>
      <w:r>
        <w:rPr>
          <w:rStyle w:val="Arabi"/>
          <w:rtl w:val="0"/>
          <w:lang w:val="fa-IR"/>
        </w:rPr>
        <w:t xml:space="preserve">انسان بما هو حیوان</w:t>
      </w:r>
      <w:r>
        <w:rPr>
          <w:rtl w:val="0"/>
          <w:lang w:val="fa-IR"/>
        </w:rPr>
        <w:t xml:space="preserve">، نه </w:t>
      </w:r>
      <w:r>
        <w:rPr>
          <w:rStyle w:val="Arabi"/>
          <w:rtl w:val="0"/>
          <w:lang w:val="fa-IR"/>
        </w:rPr>
        <w:t xml:space="preserve">انسان بما هو جنسٌ أعم</w:t>
      </w:r>
      <w:r>
        <w:rPr>
          <w:rtl w:val="0"/>
          <w:lang w:val="fa-IR"/>
        </w:rPr>
        <w:t xml:space="preserve">، نه </w:t>
      </w:r>
      <w:r>
        <w:rPr>
          <w:rStyle w:val="Arabi"/>
          <w:rtl w:val="0"/>
          <w:lang w:val="fa-IR"/>
        </w:rPr>
        <w:t xml:space="preserve">انسان بما هو نامی</w:t>
      </w:r>
      <w:r>
        <w:rPr>
          <w:rtl w:val="0"/>
          <w:lang w:val="fa-IR"/>
        </w:rPr>
        <w:t xml:space="preserve">، بلکه </w:t>
      </w:r>
      <w:r>
        <w:rPr>
          <w:rStyle w:val="Arabi"/>
          <w:rtl w:val="0"/>
          <w:lang w:val="fa-IR"/>
        </w:rPr>
        <w:t xml:space="preserve">انسان بما هو انسان</w:t>
      </w:r>
      <w:r>
        <w:rPr>
          <w:rtl w:val="0"/>
          <w:lang w:val="fa-IR"/>
        </w:rPr>
        <w:t xml:space="preserve">، و </w:t>
      </w:r>
      <w:r>
        <w:rPr>
          <w:rStyle w:val="Arabi"/>
          <w:rtl w:val="0"/>
          <w:lang w:val="fa-IR"/>
        </w:rPr>
        <w:t xml:space="preserve">انسان بما هو ناطق</w:t>
      </w:r>
      <w:r>
        <w:rPr>
          <w:rtl w:val="0"/>
          <w:lang w:val="fa-IR"/>
        </w:rPr>
        <w:t xml:space="preserve"> ـ به بهره‌ای برسد که برای او ایجاد فرح و سرور کند، او را پاک کند، تطهیر کند، تهذیب کند، طاهر کند و به خدا نزدیک کند؛ این برای او عید است.</w:t>
      </w:r>
    </w:p>
    <w:p>
      <w:pPr>
        <w:pStyle w:val="Heading3"/>
      </w:pPr>
      <w:r>
        <w:rPr>
          <w:rtl w:val="0"/>
          <w:lang w:val="fa-IR"/>
        </w:rPr>
        <w:t xml:space="preserve">علّت عید گرفتن روز عید فطر</w:t>
      </w:r>
    </w:p>
    <w:p>
      <w:pPr/>
      <w:r>
        <w:rPr>
          <w:rtl w:val="0"/>
          <w:lang w:val="fa-IR"/>
        </w:rPr>
        <w:t xml:space="preserve">روز عید فطر، عید است و روز سرور مؤمنین است؛ برای‌اینکه مردم یک ماه روزه گرفته‌اند و روزها همه گرسنه و تشنه بوده‌اند، شب‌ها به عبادت برخاسته‌اند، قرآن خوانده‌اند، نماز خوانده‌اند، و حالاکه روز عید فطر می‌شود خدا به مردم جایزه می‌دهد. این جایزه، سبک کردن آنهاست، حرکت دادن آنهاست،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توست! آن‌وقت انسان به شکرانه‌اش نماز می‌خواند و دیگر شیرینی نمی‌خورد؛ چون روز شیرینی خوردن یا شربت خوردن یا دایره زدن نیست؛ روز نماز است، و بر اساس این موهبتی که خداوند به انسان داده است، انسان باید در بیابان برود و همه در یک جا جمع شوند و نماز بخوانند و خطبه بخوانند و تکبیر بگویند:</w:t>
      </w:r>
    </w:p>
    <w:p>
      <w:pPr/>
      <w:r>
        <w:rPr>
          <w:rStyle w:val="RevayatArabi"/>
          <w:rtl w:val="0"/>
          <w:lang w:val="fa-IR"/>
        </w:rPr>
        <w:t xml:space="preserve">لا إلهَ إلاّ اللَه، الحَمدُ لِله، الحَمدُ لِله علیٰ ما هَدانا و لَهُ الشّکر علیٰ ما أولانا!</w:t>
      </w:r>
      <w:r>
        <w:rPr>
          <w:rStyle w:val="FootnoteReference"/>
        </w:rPr>
        <w:footnoteReference w:id="1"/>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علیه‌السّلام برای نماز رفتند، که سنّت رسول خدا بود.</w:t>
      </w:r>
      <w:r>
        <w:rPr>
          <w:rStyle w:val="FootnoteReference"/>
        </w:rPr>
        <w:footnoteReference w:id="2"/>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به‌جا بیاورد و این واقعاً برای انسان عید است.</w:t>
      </w:r>
    </w:p>
    <w:p>
      <w:pP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3"/>
      </w:pPr>
      <w:r>
        <w:rPr>
          <w:rtl w:val="0"/>
          <w:lang w:val="fa-IR"/>
        </w:rPr>
        <w:t xml:space="preserve">علّت عید گرفتن عید قربان</w:t>
      </w:r>
    </w:p>
    <w:p>
      <w:pPr/>
      <w:r>
        <w:rPr>
          <w:rtl w:val="0"/>
          <w:lang w:val="fa-IR"/>
        </w:rPr>
        <w:t xml:space="preserve">عید اسلام، هم ‌چنین عیدی است، عید فطر است، عید قربان است! همۀ مردم از نقاط مختلف حرکت می‌کنند و به منا می‌روند و امروز قربانی می‌کنند؛ هرکس در شهر و وطن خود یک درجه و مقداری از تعلّقات به زن و بچه و کسب‌وکار و تجارت دارد و در اثر این سفر از همۀ آن تعلّقات دست برمی‌دارد و سر و پای برهنه به سراغ خدا می‌رود و می‌گوید: </w:t>
      </w:r>
      <w:r>
        <w:rPr>
          <w:rStyle w:val="RevayatArabi"/>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3"/>
      </w:r>
      <w:r>
        <w:rPr>
          <w:rtl w:val="0"/>
          <w:lang w:val="fa-IR"/>
        </w:rPr>
        <w:t xml:space="preserve"> و پایشان را هم برهنه کنند،</w:t>
      </w:r>
      <w:r>
        <w:rPr>
          <w:rStyle w:val="FootnoteReference"/>
        </w:rPr>
        <w:footnoteReference w:id="4"/>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سربرهنه</w:t>
      </w:r>
      <w:r>
        <w:rPr>
          <w:rStyle w:val="FootnoteReference"/>
        </w:rPr>
        <w:footnoteReference w:id="5"/>
      </w:r>
      <w:r>
        <w:rPr>
          <w:rtl w:val="0"/>
          <w:lang w:val="fa-IR"/>
        </w:rPr>
        <w:t xml:space="preserve"> و پابرهنه</w:t>
      </w:r>
      <w:r>
        <w:rPr>
          <w:rStyle w:val="FootnoteReference"/>
        </w:rPr>
        <w:footnoteReference w:id="6"/>
      </w:r>
      <w:r>
        <w:rPr>
          <w:rtl w:val="0"/>
          <w:lang w:val="fa-IR"/>
        </w:rPr>
        <w:t xml:space="preserve"> بشوند و بگویند: </w:t>
      </w:r>
      <w:r>
        <w:rPr>
          <w:rStyle w:val="RevayatArabi"/>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tl w:val="0"/>
          <w:lang w:val="fa-IR"/>
        </w:rPr>
        <w:t xml:space="preserve">﴿وَلۡيَطَّوَّفُواْ بِٱلۡبَيۡتِ ٱلۡعَتِيقِ﴾</w:t>
      </w:r>
      <w:r>
        <w:rPr>
          <w:rtl w:val="0"/>
          <w:lang w:val="fa-IR"/>
        </w:rPr>
        <w:t xml:space="preserve">،</w:t>
      </w:r>
      <w:r>
        <w:rPr>
          <w:rStyle w:val="FootnoteReference"/>
        </w:rPr>
        <w:footnoteReference w:id="7"/>
      </w:r>
      <w:r>
        <w:rPr>
          <w:rtl w:val="0"/>
          <w:lang w:val="fa-IR"/>
        </w:rPr>
        <w:t xml:space="preserve"> </w:t>
      </w:r>
      <w:r>
        <w:rPr>
          <w:rtl w:val="0"/>
          <w:lang w:val="fa-IR"/>
        </w:rPr>
        <w:t xml:space="preserve">﴿لِّيَشۡهَدُواْ مَنَٰفِعَ لَهُمۡ﴾</w:t>
      </w:r>
      <w:r>
        <w:rPr>
          <w:rtl w:val="0"/>
          <w:lang w:val="fa-IR"/>
        </w:rPr>
        <w:t xml:space="preserve">،</w:t>
      </w:r>
      <w:r>
        <w:rPr>
          <w:rStyle w:val="FootnoteReference"/>
        </w:rPr>
        <w:footnoteReference w:id="8"/>
      </w:r>
      <w:r>
        <w:rPr>
          <w:rtl w:val="0"/>
          <w:lang w:val="fa-IR"/>
        </w:rPr>
        <w:t xml:space="preserve"> تا تماشا کنند و ببینند که چه خبرهاست! دنیا تنها ماده نیست، دنیا تنها خوردن و اطفای شهوت نیست، دنیا تنها گذراندن نیست، بلکه همۀ این گذراندن‌ها برای ایجاد یک شی‌ء ثابت است: </w:t>
      </w:r>
      <w:r>
        <w:rPr>
          <w:rtl w:val="0"/>
          <w:lang w:val="fa-IR"/>
        </w:rPr>
        <w:t xml:space="preserve">﴿مَا عِندَكُمۡ يَنفَدُ وَ مَا عِندَ ٱللَهِ بَاقٖ﴾</w:t>
      </w:r>
      <w:r>
        <w:rPr>
          <w:rtl w:val="0"/>
          <w:lang w:val="fa-IR"/>
        </w:rPr>
        <w:t xml:space="preserve">.</w:t>
      </w:r>
      <w:r>
        <w:rPr>
          <w:rStyle w:val="FootnoteReference"/>
        </w:rPr>
        <w:footnoteReference w:id="9"/>
      </w:r>
    </w:p>
    <w:p>
      <w:pPr>
        <w:pStyle w:val="Heading3"/>
      </w:pPr>
      <w:r>
        <w:rPr>
          <w:rtl w:val="0"/>
          <w:lang w:val="fa-IR"/>
        </w:rPr>
        <w:t xml:space="preserve">حکمت و اسرار قربانی در حج</w:t>
      </w:r>
    </w:p>
    <w:p>
      <w:pPr/>
      <w:r>
        <w:rPr>
          <w:rtl/>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[ما نیز این گوسفند را به‌عنوان حکایت‌ از فدا کردنِ خود قرار می‌دهیم]. معنای فدیه این است که «این گوسفند به عوض او باشد». فدیه یعنی «به‌جای او». «من فدای شما شوم» یعنی: «شما دارید از دنیا می‌روید و برای‌اینکه شما باقی بمانید، من بمیرم». «فدایت شوم» یعنی: «اگر تو بخواهی بمیری، من فدای تو شوم و به‌جای تو باشم.» این گوسفند فدیه است یعنی به‌عوض آن قربانی است و حکایت از آن قربانی می‌کند. گوسفندی هم که ما می‌کشیم همین است. ما هم می‌گوییم: خدایا، ما هم حاضریم جان خود را در راه تو قربانی کنیم؛ اما الآن به ما دستور ندادی که سرت را ببُر، ما این گوسفند را به‌عنوان نمونه و حاکی از جان دادن و فدا کردن قرار می‌دهیم!</w:t>
      </w:r>
      <w:r>
        <w:rPr>
          <w:rStyle w:val="FootnoteReference"/>
        </w:rPr>
        <w:footnoteReference w:id="10"/>
      </w:r>
    </w:p>
    <w:p>
      <w:pPr/>
      <w:r>
        <w:rPr>
          <w:rtl w:val="0"/>
          <w:lang w:val="fa-IR"/>
        </w:rPr>
        <w:t xml:space="preserve">هم‌چنین در کتاب </w:t>
      </w:r>
      <w:r>
        <w:rPr>
          <w:rtl w:val="0"/>
          <w:lang w:val="fa-IR"/>
        </w:rPr>
        <w:t xml:space="preserve">امام‌شناسی</w:t>
      </w:r>
      <w:r>
        <w:rPr>
          <w:rtl w:val="0"/>
          <w:lang w:val="fa-IR"/>
        </w:rPr>
        <w:t xml:space="preserve"> می‌فرمایند:</w:t>
      </w:r>
    </w:p>
    <w:p>
      <w:pPr/>
      <w:r>
        <w:rPr>
          <w:rtl w:val="0"/>
          <w:lang w:val="fa-IR"/>
        </w:rPr>
        <w:t xml:space="preserve">در [روز عید] قربان، به‌جهت آنکه مردم به عشق لقاء و دیدار وجه‌اللَه، دست از خانه و لانه و وطن و کسب‌وکار و شهرت و جاه و جمیع علایق شسته، و به‌سوى بیت‌اللَه الحرام روان شده، در این مدت پاى و سربرهنه به‌دنبال حبیب در جستجو و در تکاپو بوده است. اینک که موقع خروج از احرام است، جاى آن دارد که به شکرانۀ قبولى اعمال و پذیرش این اعمال سخت و در عین‌حال شیرین و لذت‌بخش عید بگیرد و </w:t>
      </w:r>
      <w:r>
        <w:rPr>
          <w:rStyle w:val="Arabi"/>
          <w:rtl w:val="0"/>
          <w:lang w:val="fa-IR"/>
        </w:rPr>
        <w:t xml:space="preserve">«الحمدللّه»</w:t>
      </w:r>
      <w:r>
        <w:rPr>
          <w:rtl w:val="0"/>
          <w:lang w:val="fa-IR"/>
        </w:rPr>
        <w:t xml:space="preserve"> بگوید، و به مراسم عید که آن هم باز ذکر خدا و تطهیر بیشترى است، مهیّا گردد. نماز عید بخواند، و زبان به تقدیس و تمجید الهى بگشاید، و از جمال و جلال او بیان کند، و از محاسن و زیبایى‌هاى او اعلان وحدت و توحید ذات و اسماء و صفات و افعال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tl w:val="0"/>
          <w:lang w:val="fa-IR"/>
        </w:rPr>
        <w:t xml:space="preserve">.</w:t>
      </w:r>
      <w:r>
        <w:rPr>
          <w:rStyle w:val="FootnoteReference"/>
        </w:rPr>
        <w:footnoteReference w:id="11"/>
      </w:r>
    </w:p>
    <w:p>
      <w:pPr/>
      <w:r>
        <w:rPr>
          <w:rtl w:val="0"/>
          <w:lang w:val="fa-IR"/>
        </w:rPr>
        <w:t xml:space="preserve">و نه‌تنها خودِ حجّاج، بلکه جمیع مسلمین در سراسر بِقاع</w:t>
      </w:r>
      <w:r>
        <w:rPr>
          <w:rStyle w:val="FootnoteReference"/>
        </w:rPr>
        <w:footnoteReference w:id="12"/>
      </w:r>
      <w:r>
        <w:rPr>
          <w:rtl w:val="0"/>
          <w:lang w:val="fa-IR"/>
        </w:rPr>
        <w:t xml:space="preserve"> عالَم بدین موهبت عظمایى که نصیب برادرانشان در آن مواقف کریمه شده است، عید بگیرند. و به‌دنبال اعمالى که در ذی‌القعدة و ده روز از ذی‌الحجّة به‌جاى آورده‌اند، قربانى کنند، و نماز عید بخوانند، و براى جماعت با امام، پاى برهنه به صحرا روند.</w:t>
      </w:r>
      <w:r>
        <w:rPr>
          <w:rStyle w:val="FootnoteReference"/>
        </w:rPr>
        <w:footnoteReference w:id="13"/>
      </w:r>
    </w:p>
    <w:p>
      <w:pPr>
        <w:pStyle w:val="Heading2"/>
      </w:pPr>
      <w:r>
        <w:rPr>
          <w:rtl w:val="0"/>
          <w:lang w:val="fa-IR"/>
        </w:rPr>
        <w:t xml:space="preserve">اعمال شب عید قربان</w:t>
      </w:r>
    </w:p>
    <w:p>
      <w:pPr>
        <w:pStyle w:val="Heading3"/>
      </w:pPr>
      <w:r>
        <w:rPr>
          <w:rtl w:val="0"/>
          <w:lang w:val="fa-IR"/>
        </w:rPr>
        <w:t xml:space="preserve">عبادت و احیاء</w:t>
      </w:r>
    </w:p>
    <w:p>
      <w:pPr/>
      <w:r>
        <w:rPr>
          <w:rtl w:val="0"/>
          <w:lang w:val="fa-IR"/>
        </w:rPr>
        <w:t xml:space="preserve">شب عید قربان یکی از چهار شبی است که امیرالمؤمنین دوست داشتند خود را برای عبادت آن شب‌ها فارغ کنند.</w:t>
      </w:r>
    </w:p>
    <w:p>
      <w:pPr/>
      <w:r>
        <w:rPr>
          <w:rtl w:val="0"/>
          <w:lang w:val="fa-IR"/>
        </w:rPr>
        <w:t xml:space="preserve">از امام صادق علیه‌السّلام روایت شده که از پدرانش علیهم‌السّلام نقل نموده است:</w:t>
      </w:r>
    </w:p>
    <w:p>
      <w:pPr>
        <w:pStyle w:val="NaghlegholMatn"/>
      </w:pPr>
      <w:r>
        <w:rPr>
          <w:rtl w:val="0"/>
          <w:lang w:val="fa-IR"/>
        </w:rPr>
        <w:t xml:space="preserve">امام على علیه‌السّلام دوست داشت چهار شب در سال خود را فارغ نماید: شب اول رجب، شب نیمۀ شعبان، شب عید فطر و شب عید قربان.</w:t>
      </w:r>
      <w:r>
        <w:rPr>
          <w:rStyle w:val="FootnoteReference"/>
        </w:rPr>
        <w:footnoteReference w:id="14"/>
      </w:r>
    </w:p>
    <w:p>
      <w:pPr>
        <w:pStyle w:val="Heading3"/>
      </w:pPr>
      <w:r>
        <w:rPr>
          <w:rtl w:val="0"/>
          <w:lang w:val="fa-IR"/>
        </w:rPr>
        <w:t xml:space="preserve">زیارت سیدالشهداء علیه‌السّلام</w:t>
      </w:r>
    </w:p>
    <w:p>
      <w:pPr/>
      <w:r>
        <w:rPr>
          <w:rtl w:val="0"/>
          <w:lang w:val="fa-IR"/>
        </w:rPr>
        <w:t xml:space="preserve">و هم‌چنین در این شب زیارت سیدالشهداء مستحب می‌باشد، چنان‌که در روایتی از امام صادق علیه‌السّلام چنین آمده است: </w:t>
      </w:r>
      <w:r>
        <w:rPr>
          <w:rtl w:val="0"/>
          <w:lang w:val="fa-IR"/>
        </w:rPr>
        <w:t xml:space="preserve">«کسى که امام حسین علیه‌السّلام را در یکى از سه شب زیارت کند، خداوند گناهان گذشته و آیندۀ او را مى‌آمرزد.» </w:t>
      </w:r>
      <w:r>
        <w:rPr>
          <w:rtl w:val="0"/>
          <w:lang w:val="fa-IR"/>
        </w:rPr>
        <w:t xml:space="preserve">راوى پرسید کدام شب‌ها؟ فرمودند</w:t>
      </w:r>
      <w:r>
        <w:rPr>
          <w:rtl w:val="0"/>
          <w:lang w:val="fa-IR"/>
        </w:rPr>
        <w:t xml:space="preserve">: «شب عید فطر و شب عید قربان و شب نیمۀ شعبان.»</w:t>
      </w:r>
      <w:r>
        <w:rPr>
          <w:rStyle w:val="FootnoteReference"/>
        </w:rPr>
        <w:footnoteReference w:id="15"/>
      </w:r>
    </w:p>
    <w:p>
      <w:pPr>
        <w:pStyle w:val="Heading2"/>
      </w:pPr>
      <w:r>
        <w:rPr>
          <w:rtl w:val="0"/>
          <w:lang w:val="fa-IR"/>
        </w:rPr>
        <w:t xml:space="preserve">اعمال روز عید قربان</w:t>
      </w:r>
    </w:p>
    <w:p>
      <w:pPr>
        <w:pStyle w:val="Heading3"/>
      </w:pPr>
      <w:r>
        <w:rPr>
          <w:rtl w:val="0"/>
          <w:lang w:val="fa-IR"/>
        </w:rPr>
        <w:t xml:space="preserve">نماز عید</w:t>
      </w:r>
    </w:p>
    <w:p>
      <w:pPr/>
      <w:r>
        <w:rPr>
          <w:rtl w:val="0"/>
          <w:lang w:val="fa-IR"/>
        </w:rPr>
        <w:t xml:space="preserve">رفقا روز عید قربان نماز عید را بخوانند، حالا یا به جماعت یا فرادىٰ، یا چند نفرى در منزل؛ دیگر آن بسته به میل خودشان است. توجه داشته باشند اثرات نماز عید قربان اگر بیش از روز عید فطر نباشد، کمتر نیست! اولیاء الهى و عرفاء روى نماز عید قربان بسیار بسیار توجه داشتند.</w:t>
      </w:r>
      <w:r>
        <w:rPr>
          <w:rStyle w:val="FootnoteReference"/>
        </w:rPr>
        <w:footnoteReference w:id="16"/>
      </w:r>
    </w:p>
    <w:p>
      <w:pPr>
        <w:pStyle w:val="Heading4"/>
      </w:pPr>
      <w:r>
        <w:rPr>
          <w:rtl w:val="0"/>
          <w:lang w:val="fa-IR"/>
        </w:rPr>
        <w:t xml:space="preserve">مقدمات نماز عید</w:t>
      </w:r>
    </w:p>
    <w:p>
      <w:pPr/>
      <w:r>
        <w:rPr>
          <w:rtl w:val="0"/>
          <w:lang w:val="fa-IR"/>
        </w:rPr>
        <w:t xml:space="preserve">در ابتداى روز به نیت پاک نمودن قلب از اشتغال به‌ غیرِ خدا غسل کن. آن‌گاه </w:t>
      </w:r>
      <w:r>
        <w:rPr>
          <w:rStyle w:val="Arabi"/>
          <w:rtl w:val="0"/>
          <w:lang w:val="fa-IR"/>
        </w:rPr>
        <w:t xml:space="preserve">«اللَه اکبر»</w:t>
      </w:r>
      <w:r>
        <w:rPr>
          <w:rtl w:val="0"/>
          <w:lang w:val="fa-IR"/>
        </w:rPr>
        <w:t xml:space="preserve">ى واقعى گفته و با این تکبیر، تمام موجودات، جز شکوه و بزرگىِ او را کوچک شمار. و به نیت پوشش و آرایش با لباس تقوى و اخلاق نیکو، تمیزترین لباس‌هاى خود را پوشیده و در این هنگام دعای روز عید قربان را بخوان، آنگاه به‌طرف مصلیٰ حرکت کرده وقتى که به مصلیٰ رسیده و در جاى نمازت نشستى، دعای قبل از نماز عید قربان را بخوان:</w:t>
      </w:r>
    </w:p>
    <w:p>
      <w:pP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r>
        <w:rPr>
          <w:rStyle w:val="FootnoteReference"/>
        </w:rPr>
        <w:footnoteReference w:id="17"/>
      </w:r>
    </w:p>
    <w:p>
      <w:pPr>
        <w:pStyle w:val="Heading4"/>
      </w:pPr>
      <w:r>
        <w:rPr>
          <w:rtl w:val="0"/>
          <w:lang w:val="fa-IR"/>
        </w:rPr>
        <w:t xml:space="preserve">کیفیت نماز عید</w:t>
      </w:r>
    </w:p>
    <w:p>
      <w:pPr/>
      <w:r>
        <w:rPr>
          <w:rtl w:val="0"/>
          <w:lang w:val="fa-IR"/>
        </w:rPr>
        <w:t xml:space="preserve">نماز عید دو رکعت است. بهتر آن است که در رکعت اول بعد از حمد، سورۀ‏ </w:t>
      </w:r>
      <w:r>
        <w:rPr>
          <w:rStyle w:val="Arabi"/>
          <w:rtl w:val="0"/>
          <w:lang w:val="fa-IR"/>
        </w:rPr>
        <w:t xml:space="preserve">«أعلیٰ»</w:t>
      </w:r>
      <w:r>
        <w:rPr>
          <w:rtl w:val="0"/>
          <w:lang w:val="fa-IR"/>
        </w:rPr>
        <w:t xml:space="preserve"> و در رکعت دوم بعد از حمد سورۀ‏ </w:t>
      </w:r>
      <w:r>
        <w:rPr>
          <w:rStyle w:val="Arabi"/>
          <w:rtl w:val="0"/>
          <w:lang w:val="fa-IR"/>
        </w:rPr>
        <w:t xml:space="preserve">«والشّمس»</w:t>
      </w:r>
      <w:r>
        <w:rPr>
          <w:rtl w:val="0"/>
          <w:lang w:val="fa-IR"/>
        </w:rPr>
        <w:t xml:space="preserve"> را بخواند. بعد از سوره، در رکعت اول پنج تکبیر گوید، و بعد از هر تکبیر یک قنوت بخواند و در قنوت ذکر هر دعایى کافى است، و بهتر آن است که بگوید:</w:t>
      </w:r>
    </w:p>
    <w:p>
      <w:pPr/>
      <w:r>
        <w:rPr>
          <w:rStyle w:val="RevayatArabi"/>
          <w:rtl w:val="0"/>
          <w:lang w:val="fa-IR"/>
        </w:rPr>
        <w:t xml:space="preserve">اللَهمّ أهلَ الکِبریاءِ و العَظَمَةِ، و أهلَ الجودِ و الجَبَروتِ، و أهلَ العَفوِ و الرّحمَةِ، و أهلَ التَّقوَى و المَغفِرَةِ، أسألُکَ بحقِّ هذا الیَومِ الَّذى جعَلتَهُ للمسلِمینَ عیدًا و لمُحَمَّدٍ صَلّى اللَهُ علَیهِ و آلِه ذُخرًا و شَرفًا و کَرامَةً و مَزیدًا أن تُصلِّىَ علَى محمدٍ و آلِ محمدٍ، و أن تُدخِلَنى فى کُلِّ خَیرٍ أدخَلتَ فیه محَمّدًا و آلَ محمد، و أن تُخرِجَنى مِن کُلِّ سوءٍ أخرَجتَ مِنه محمّدًا و آلَ محمدٍ، صلَواتُک علَیه و علَیهم. اللَهمّ إنّى أسألُکَ خَیرَ ما سَألکَ به عِبادُکَ الصّالِحون، و أعوذُ بکَ مِمّا استَعاذَ منهُ عِبادُکَ المُخلِصون.</w:t>
      </w:r>
      <w:r>
        <w:rPr>
          <w:rStyle w:val="FootnoteReference"/>
        </w:rPr>
        <w:footnoteReference w:id="18"/>
      </w:r>
    </w:p>
    <w:p>
      <w:pPr>
        <w:pStyle w:val="Heading3"/>
      </w:pPr>
      <w:r>
        <w:rPr>
          <w:rtl w:val="0"/>
          <w:lang w:val="fa-IR"/>
        </w:rPr>
        <w:t xml:space="preserve">قربانى‌</w:t>
      </w:r>
    </w:p>
    <w:p>
      <w:pPr/>
      <w:r>
        <w:rPr>
          <w:rtl w:val="0"/>
          <w:lang w:val="fa-IR"/>
        </w:rPr>
        <w:t xml:space="preserve">از کارهاى مهم در این روز قربانى است. این عمل همان‌گونه که در روایات آمده مستحب مؤکد است.</w:t>
      </w:r>
      <w:r>
        <w:rPr>
          <w:rStyle w:val="FootnoteReference"/>
        </w:rPr>
        <w:footnoteReference w:id="1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١، ص ٤٨٩.</w:t>
      </w:r>
    </w:p>
  </w:footnote>
  <w:footnote w:id="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٤٩٣.</w:t>
      </w:r>
    </w:p>
  </w:footnote>
  <w:footnote w:id="4">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5">
    <w:p>
      <w:pPr>
        <w:pStyle w:val="FootnoteText"/>
      </w:pPr>
      <w:r>
        <w:rPr>
          <w:rStyle w:val="FootnoteReference"/>
        </w:rPr>
        <w:footnoteRef/>
      </w:r>
      <w:r>
        <w:t xml:space="preserve"> </w:t>
      </w:r>
      <w:r>
        <w:rPr>
          <w:rtl w:val="0"/>
          <w:lang w:val="fa-IR"/>
        </w:rPr>
        <w:t xml:space="preserve">همان</w:t>
      </w:r>
      <w:r>
        <w:rPr>
          <w:rtl w:val="0"/>
          <w:lang w:val="fa-IR"/>
        </w:rPr>
        <w:t xml:space="preserve">، ص ٥٠٥.</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7">
    <w:p>
      <w:pPr>
        <w:pStyle w:val="FootnoteText"/>
      </w:pPr>
      <w:r>
        <w:rPr>
          <w:rStyle w:val="FootnoteReference"/>
        </w:rPr>
        <w:footnoteRef/>
      </w:r>
      <w:r>
        <w:t xml:space="preserve"> </w:t>
      </w:r>
      <w:r>
        <w:rPr>
          <w:rtl w:val="0"/>
          <w:lang w:val="fa-IR"/>
        </w:rPr>
        <w:t xml:space="preserve">سورۀ حج (22) آیۀ 29.</w:t>
      </w:r>
    </w:p>
  </w:footnote>
  <w:footnote w:id="8">
    <w:p>
      <w:pPr>
        <w:pStyle w:val="FootnoteText"/>
      </w:pPr>
      <w:r>
        <w:rPr>
          <w:rStyle w:val="FootnoteReference"/>
        </w:rPr>
        <w:footnoteRef/>
      </w:r>
      <w:r>
        <w:t xml:space="preserve"> </w:t>
      </w:r>
      <w:r>
        <w:rPr>
          <w:rtl w:val="0"/>
          <w:lang w:val="fa-IR"/>
        </w:rPr>
        <w:t xml:space="preserve">سورۀ حج (22) آیۀ 28.</w:t>
      </w:r>
    </w:p>
  </w:footnote>
  <w:footnote w:id="9">
    <w:p>
      <w:pPr>
        <w:pStyle w:val="FootnoteText"/>
      </w:pPr>
      <w:r>
        <w:rPr>
          <w:rStyle w:val="FootnoteReference"/>
        </w:rPr>
        <w:footnoteRef/>
      </w:r>
      <w:r>
        <w:t xml:space="preserve"> </w:t>
      </w:r>
      <w:r>
        <w:rPr>
          <w:rtl w:val="0"/>
          <w:lang w:val="fa-IR"/>
        </w:rPr>
        <w:t xml:space="preserve">سورۀ نحل (16) آیۀ 96.</w:t>
      </w:r>
    </w:p>
  </w:footnote>
  <w:footnote w:id="10">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ج۲ ص 109 - 114.</w:t>
      </w:r>
    </w:p>
  </w:footnote>
  <w:footnote w:id="1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12">
    <w:p>
      <w:pPr>
        <w:pStyle w:val="FootnoteText"/>
      </w:pPr>
      <w:r>
        <w:rPr>
          <w:rStyle w:val="FootnoteReference"/>
        </w:rPr>
        <w:footnoteRef/>
      </w:r>
      <w:r>
        <w:t xml:space="preserve"> </w:t>
      </w:r>
      <w:r>
        <w:rPr>
          <w:rtl w:val="0"/>
          <w:lang w:val="fa-IR"/>
        </w:rPr>
        <w:t xml:space="preserve">بِقاع: جمعِ «بقعه» و به‌معنای محل و قسمتی از زمین.</w:t>
      </w:r>
    </w:p>
  </w:footnote>
  <w:footnote w:id="13">
    <w:p>
      <w:pPr>
        <w:pStyle w:val="FootnoteText"/>
      </w:pPr>
      <w:r>
        <w:rPr>
          <w:rStyle w:val="FootnoteReference"/>
        </w:rPr>
        <w:footnoteRef/>
      </w:r>
      <w:r>
        <w:t xml:space="preserve"> </w:t>
      </w:r>
      <w:r>
        <w:rPr>
          <w:rtl w:val="0"/>
          <w:lang w:val="fa-IR"/>
        </w:rPr>
        <w:t xml:space="preserve">امام شناسی</w:t>
      </w:r>
      <w:r>
        <w:rPr>
          <w:rtl w:val="0"/>
          <w:lang w:val="fa-IR"/>
        </w:rPr>
        <w:t xml:space="preserve">، ج 9، ص 201.</w:t>
      </w:r>
    </w:p>
  </w:footnote>
  <w:footnote w:id="14">
    <w:p>
      <w:pPr>
        <w:pStyle w:val="FootnoteText"/>
      </w:pPr>
      <w:r>
        <w:rPr>
          <w:rStyle w:val="FootnoteReference"/>
        </w:rPr>
        <w:footnoteRef/>
      </w:r>
      <w:r>
        <w:t xml:space="preserve"> </w:t>
      </w:r>
      <w:r>
        <w:rPr>
          <w:rtl w:val="0"/>
          <w:lang w:val="fa-IR"/>
        </w:rPr>
        <w:t xml:space="preserve">فضائل الاشهر الثلاثة</w:t>
      </w:r>
      <w:r>
        <w:rPr>
          <w:rtl w:val="0"/>
          <w:lang w:val="fa-IR"/>
        </w:rPr>
        <w:t xml:space="preserve">، ص 46، </w:t>
      </w:r>
      <w:r>
        <w:rPr>
          <w:rtl w:val="0"/>
          <w:lang w:val="fa-IR"/>
        </w:rPr>
        <w:t xml:space="preserve">الإقبال بالأعمال</w:t>
      </w:r>
      <w:r>
        <w:rPr>
          <w:rtl w:val="0"/>
          <w:lang w:val="fa-IR"/>
        </w:rPr>
        <w:t xml:space="preserve"> (ط ـ الحدیثة)، ج‌2، ص 189.</w:t>
      </w:r>
    </w:p>
  </w:footnote>
  <w:footnote w:id="15">
    <w:p>
      <w:pPr>
        <w:pStyle w:val="FootnoteText"/>
      </w:pPr>
      <w:r>
        <w:rPr>
          <w:rStyle w:val="FootnoteReference"/>
        </w:rPr>
        <w:footnoteRef/>
      </w:r>
      <w:r>
        <w:t xml:space="preserve"> </w:t>
      </w:r>
      <w:r>
        <w:rPr>
          <w:rtl w:val="0"/>
          <w:lang w:val="fa-IR"/>
        </w:rPr>
        <w:t xml:space="preserve">کامل الزیارات</w:t>
      </w:r>
      <w:r>
        <w:rPr>
          <w:rtl w:val="0"/>
          <w:lang w:val="fa-IR"/>
        </w:rPr>
        <w:t xml:space="preserve">، ص 791.</w:t>
      </w:r>
    </w:p>
  </w:footnote>
  <w:footnote w:id="16">
    <w:p>
      <w:pPr>
        <w:pStyle w:val="FootnoteText"/>
      </w:pPr>
      <w:r>
        <w:rPr>
          <w:rStyle w:val="FootnoteReference"/>
        </w:rPr>
        <w:footnoteRef/>
      </w:r>
      <w:r>
        <w:t xml:space="preserve"> </w:t>
      </w:r>
      <w:r>
        <w:rPr>
          <w:rtl w:val="0"/>
          <w:lang w:val="fa-IR"/>
        </w:rPr>
        <w:t xml:space="preserve">شرح حدیث عنوان بصری، جلسۀ 213.</w:t>
      </w:r>
    </w:p>
  </w:footnote>
  <w:footnote w:id="17">
    <w:p>
      <w:pPr>
        <w:pStyle w:val="FootnoteText"/>
      </w:pPr>
      <w:r>
        <w:rPr>
          <w:rStyle w:val="FootnoteReference"/>
        </w:rPr>
        <w:footnoteRef/>
      </w:r>
      <w:r>
        <w:t xml:space="preserve"> </w:t>
      </w:r>
      <w:r>
        <w:rPr>
          <w:rtl w:val="0"/>
          <w:lang w:val="fa-IR"/>
        </w:rPr>
        <w:t xml:space="preserve">المراقبات</w:t>
      </w:r>
      <w:r>
        <w:rPr>
          <w:rtl w:val="0"/>
          <w:lang w:val="fa-IR"/>
        </w:rPr>
        <w:t xml:space="preserve">، ترجمۀ ابراهیم محدث بندرریگی، ص 458.</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 </w:t>
      </w:r>
      <w:r>
        <w:rPr>
          <w:rtl w:val="0"/>
          <w:lang w:val="fa-IR"/>
        </w:rPr>
        <w:t xml:space="preserve">مطلع انوار</w:t>
      </w:r>
      <w:r>
        <w:rPr>
          <w:rtl w:val="0"/>
          <w:lang w:val="fa-IR"/>
        </w:rPr>
        <w:t xml:space="preserve">، ج‏4، ص 52.</w:t>
      </w:r>
    </w:p>
  </w:footnote>
  <w:footnote w:id="19">
    <w:p>
      <w:pPr>
        <w:pStyle w:val="FootnoteText"/>
      </w:pPr>
      <w:r>
        <w:rPr>
          <w:rStyle w:val="FootnoteReference"/>
        </w:rPr>
        <w:footnoteRef/>
      </w:r>
      <w:r>
        <w:t xml:space="preserve"> </w:t>
      </w:r>
      <w:r>
        <w:rPr>
          <w:rtl w:val="0"/>
          <w:lang w:val="fa-IR"/>
        </w:rPr>
        <w:t xml:space="preserve">المحاسن</w:t>
      </w:r>
      <w:r>
        <w:rPr>
          <w:rtl w:val="0"/>
          <w:lang w:val="fa-IR"/>
        </w:rPr>
        <w:t xml:space="preserve">، ج‏2، ص 388؛ </w:t>
      </w:r>
      <w:r>
        <w:rPr>
          <w:rtl w:val="0"/>
          <w:lang w:val="fa-IR"/>
        </w:rPr>
        <w:t xml:space="preserve">علل الشرائع</w:t>
      </w:r>
      <w:r>
        <w:rPr>
          <w:rtl w:val="0"/>
          <w:lang w:val="fa-IR"/>
        </w:rPr>
        <w:t xml:space="preserve">، ج‏2، ص 440؛ </w:t>
      </w:r>
      <w:r>
        <w:rPr>
          <w:rtl w:val="0"/>
          <w:lang w:val="fa-IR"/>
        </w:rPr>
        <w:t xml:space="preserve">الخصال</w:t>
      </w:r>
      <w:r>
        <w:rPr>
          <w:rtl w:val="0"/>
          <w:lang w:val="fa-IR"/>
        </w:rPr>
        <w:t xml:space="preserve">، ج‏1، ص 298؛ </w:t>
      </w:r>
      <w:r>
        <w:rPr>
          <w:rtl w:val="0"/>
          <w:lang w:val="fa-IR"/>
        </w:rPr>
        <w:t xml:space="preserve">من لا يحضره الفقيه</w:t>
      </w:r>
      <w:r>
        <w:rPr>
          <w:rtl w:val="0"/>
          <w:lang w:val="fa-IR"/>
        </w:rPr>
        <w:t xml:space="preserve">، ج‏2، ص 213؛ </w:t>
      </w:r>
      <w:r>
        <w:rPr>
          <w:rtl w:val="0"/>
          <w:lang w:val="fa-IR"/>
        </w:rPr>
        <w:t xml:space="preserve">المراقبات</w:t>
      </w:r>
      <w:r>
        <w:rPr>
          <w:rtl w:val="0"/>
          <w:lang w:val="fa-IR"/>
        </w:rPr>
        <w:t xml:space="preserve">، ترجمۀ ابراهیم محدث بندرریگی، ص 459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