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عید غدیر و آداب و اعمال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افضلیت عید غدیر نسبت به سایر اعیاد</w:t>
      </w:r>
    </w:p>
    <w:p>
      <w:pPr/>
      <w:r>
        <w:rPr>
          <w:rtl w:val="0"/>
          <w:lang w:val="fa-IR"/>
        </w:rPr>
        <w:t xml:space="preserve">اما عیدِ غدیر که اشرف و افضل اعیاد است، به‌جهت ربط امت با امام، و وحدت دل‌هاى آنان با ولایت، و ورود در سِلکِ سالکانِ راه، و روندگانِ طریق مودّت و محبّت و ایثار و انفاق، و عقل و شعور، و گسترش نور ربّانى، و نفحات قدسیّۀ سبحانى، و ارتباط مُلک با ملکوت است.</w:t>
      </w:r>
    </w:p>
    <w:p>
      <w:pPr/>
      <w:r>
        <w:rPr>
          <w:rtl w:val="0"/>
          <w:lang w:val="fa-IR"/>
        </w:rPr>
        <w:t xml:space="preserve">عید غدیر، روز عبودیّت و تسلیم در برابر حق، و خروج از فرعونیّتِ نفس اَمّاره، و انداختن ریسمان ذُلِّ رِقّیَّتِ حضرت سبحان است، و اقرار و اعتراف به یگانه‌خاصّۀ از خواصّ درگاه با عظمت او، و قدم در صراط مستقیم ایقان نهادن، و گام استوار و راستین در ترک تجاملات نمودن، و بدون شائبه و تعارف، به حق و حقیقت و واقعیّت درآمدن، و از زمرۀ بَهائِم خارج شدن، و به صفِ انسان پیوستن است.</w:t>
      </w:r>
    </w:p>
    <w:p>
      <w:pPr/>
      <w:r>
        <w:rPr>
          <w:rtl w:val="0"/>
          <w:lang w:val="fa-IR"/>
        </w:rPr>
        <w:t xml:space="preserve">عید غدیر، نداى حضرت قدّوس و سبّوح را به حصر ولایت در قرآن کریم به‏ </w:t>
      </w:r>
      <w:r>
        <w:rPr>
          <w:rtl w:val="0"/>
          <w:lang w:val="fa-IR"/>
        </w:rPr>
        <w:t xml:space="preserve">﴿يَٰٓأَيُّهَا ٱلرَّسُولُ بَلِّغۡ﴾</w:t>
      </w:r>
      <w:r>
        <w:rPr>
          <w:rtl w:val="0"/>
          <w:lang w:val="fa-IR"/>
        </w:rPr>
        <w:t xml:space="preserve">‏ پاسخ صحیح دادن، و گفتار حضرت پیامبر اعظمش را به: </w:t>
      </w:r>
      <w:r>
        <w:rPr>
          <w:rStyle w:val="RevayatArabi"/>
          <w:rtl w:val="0"/>
          <w:lang w:val="fa-IR"/>
        </w:rPr>
        <w:t xml:space="preserve">«مَن کُنتُ مَولاهُ فَعَلِىُّ مَولاهُ»</w:t>
      </w:r>
      <w:r>
        <w:rPr>
          <w:rtl w:val="0"/>
          <w:lang w:val="fa-IR"/>
        </w:rPr>
        <w:t xml:space="preserve">‏ با جان و دل پذیرفتن، و در تحتِ دعاى‏ </w:t>
      </w:r>
      <w:r>
        <w:rPr>
          <w:rStyle w:val="RevayatArabi"/>
          <w:rtl w:val="0"/>
          <w:lang w:val="fa-IR"/>
        </w:rPr>
        <w:t xml:space="preserve">«اللَهمّ والِ مَن‏ والاهُ‏»</w:t>
      </w:r>
      <w:r>
        <w:rPr>
          <w:rtl w:val="0"/>
          <w:lang w:val="fa-IR"/>
        </w:rPr>
        <w:t xml:space="preserve"> قرار گرفتن، و از نفرین خانمان‌سوزِ </w:t>
      </w:r>
      <w:r>
        <w:rPr>
          <w:rStyle w:val="RevayatArabi"/>
          <w:rtl w:val="0"/>
          <w:lang w:val="fa-IR"/>
        </w:rPr>
        <w:t xml:space="preserve">«وَ عادِ مَن عاداهُ»</w:t>
      </w:r>
      <w:r>
        <w:rPr>
          <w:rtl w:val="0"/>
          <w:lang w:val="fa-IR"/>
        </w:rPr>
        <w:t xml:space="preserve">‏ بیرون شدن، و استقبال از </w:t>
      </w:r>
      <w:r>
        <w:rPr>
          <w:rStyle w:val="RevayatArabi"/>
          <w:rtl w:val="0"/>
          <w:lang w:val="fa-IR"/>
        </w:rPr>
        <w:t xml:space="preserve">«وَ انْصُر مَن نَصَرَهُ‏»</w:t>
      </w:r>
      <w:r>
        <w:rPr>
          <w:rtl w:val="0"/>
          <w:lang w:val="fa-IR"/>
        </w:rPr>
        <w:t xml:space="preserve">، و اِستِدبار از </w:t>
      </w:r>
      <w:r>
        <w:rPr>
          <w:rStyle w:val="RevayatArabi"/>
          <w:rtl w:val="0"/>
          <w:lang w:val="fa-IR"/>
        </w:rPr>
        <w:t xml:space="preserve">«وَ اخْذُل مَن خَذَلَهُ‏»</w:t>
      </w:r>
      <w:r>
        <w:rPr>
          <w:rtl w:val="0"/>
          <w:lang w:val="fa-IR"/>
        </w:rPr>
        <w:t xml:space="preserve"> نمودن است.</w:t>
      </w:r>
      <w:r>
        <w:rPr>
          <w:rStyle w:val="FootnoteReference"/>
        </w:rPr>
        <w:footnoteReference w:id="1"/>
      </w:r>
    </w:p>
    <w:p>
      <w:pPr>
        <w:pStyle w:val="Heading2"/>
      </w:pPr>
      <w:r>
        <w:rPr>
          <w:rtl w:val="0"/>
          <w:lang w:val="fa-IR"/>
        </w:rPr>
        <w:t xml:space="preserve">برخی از آداب عید غدیر و آثار آن</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مى‌سپارند.</w:t>
      </w:r>
    </w:p>
    <w:p>
      <w:pPr/>
      <w:r>
        <w:rPr>
          <w:rtl w:val="0"/>
          <w:lang w:val="fa-IR"/>
        </w:rPr>
        <w:t xml:space="preserve">بیدارى به عبادت در شب غدیر و صلۀ ارحام و ضعفاء و توسعه بر عیال و زینت‌بستن و لباس‌هاى نو و جامه‌هاى پاک و پاکیزه پوشیدن و احسان و بِرّ و گسترش خیرات و مبرّات در این روز، همه و همه از موجبات بقاء این اثر جاوید است، تا مردم‏ به‌دنبال ریشه و سرچشمه غدیر بروند، و تفحّص و تجسّس از اصل قضیّه بنمایند، و شاخه‌هاى ایمان در دل‌هاى ایشان رشد کند و قوى گردد.</w:t>
      </w:r>
    </w:p>
    <w:p>
      <w:pPr/>
      <w:r>
        <w:rPr>
          <w:rtl w:val="0"/>
          <w:lang w:val="fa-IR"/>
        </w:rPr>
        <w:t xml:space="preserve">و چقدر زیباست که ایرانیان‏ عید غدیر را که ستون ایمان است به‌عنوان تعطیل رسمى تا چند روز براى دیدن‌ها و سرورها، و تجدید لباس‌هاى کهنه به لباس‌هاى نو قرار دهند، تا یک‌سره دیو زشت طبیعت جاى خود را به فرشتۀ رحمت دهد، و شیعه که پیوسته کارهایش از روى تعقّل و حساب بوده است، در این مقطع نیز بى‌حساب و غافل‌گیر در دام نیفتد.</w:t>
      </w:r>
      <w:r>
        <w:rPr>
          <w:rStyle w:val="FootnoteReference"/>
        </w:rPr>
        <w:footnoteReference w:id="2"/>
      </w:r>
    </w:p>
    <w:p>
      <w:pPr>
        <w:pStyle w:val="Heading2"/>
      </w:pPr>
      <w:r>
        <w:rPr>
          <w:rtl w:val="0"/>
          <w:lang w:val="fa-IR"/>
        </w:rPr>
        <w:t xml:space="preserve">ثواب روزه عید غدیر</w:t>
      </w:r>
    </w:p>
    <w:p>
      <w:pPr/>
      <w:r>
        <w:rPr>
          <w:rtl w:val="0"/>
          <w:lang w:val="fa-IR"/>
        </w:rPr>
        <w:t xml:space="preserve">حضرت امام صادق علیه‌السّلام:</w:t>
      </w:r>
    </w:p>
    <w:p>
      <w:pPr>
        <w:pStyle w:val="NaghlegholMatn"/>
      </w:pPr>
      <w:r>
        <w:rPr>
          <w:rStyle w:val="RevayatArabi"/>
          <w:rtl w:val="0"/>
          <w:lang w:val="fa-IR"/>
        </w:rPr>
        <w:t xml:space="preserve">صَومُ یَومِ غَدیرِ خُمٍّ یَعدِلُ صیامَ عُمرِالدُّنیا لَو عاشَ إنسانٌ عُمرَ الدُّنیا ثُمَّ لَو صامَ ما عُمِّرَتِ الدُّنیا لَکانَ لَهُ ثَوابُ ذَلِکَ. وَصیامُهُ یَعدِلُ عِنداللَهِ عزّوجلّ مِائةَ حِجَّةٍ وَ مِائةَ عُمرَة.</w:t>
      </w:r>
    </w:p>
    <w:p>
      <w:pPr>
        <w:pStyle w:val="NaghlegholMatn"/>
      </w:pPr>
      <w:r>
        <w:rPr>
          <w:rtl w:val="0"/>
          <w:lang w:val="fa-IR"/>
        </w:rPr>
        <w:t xml:space="preserve">«روزه داشتن در روز غدیر خمّ معادل است با روزه داشتن عمر دنیا، اگر فرضاً انسانى به‌قدرِ عمر دنیا عمر کند، و به‌اندازۀ عمر دنیا روزه بگیرد، در این‌صورت ثواب این روزه‌ها براى او خواهد بود. روزه داشتن در روز غدیر، در نزد خداوند عزّوجل به‌قدرِ ثواب صد حجّ و صد عُمره است‏.»</w:t>
      </w:r>
      <w:r>
        <w:rPr>
          <w:rStyle w:val="FootnoteReference"/>
        </w:rPr>
        <w:footnoteReference w:id="3"/>
      </w:r>
    </w:p>
    <w:p>
      <w:pPr>
        <w:pStyle w:val="Heading3"/>
      </w:pPr>
      <w:r>
        <w:rPr>
          <w:rtl w:val="0"/>
          <w:lang w:val="fa-IR"/>
        </w:rPr>
        <w:t xml:space="preserve">علت ثواب عظیم روزه</w:t>
      </w:r>
    </w:p>
    <w:p>
      <w:pPr/>
      <w:r>
        <w:rPr>
          <w:rtl w:val="0"/>
          <w:lang w:val="fa-IR"/>
        </w:rPr>
        <w:t xml:space="preserve">اگر کسى بدون الزام و اکراه، یک روز غدیر را با روزۀ مستحبى به مِهر على و به محبّت ولایت، و به پاسخ مثبت دادن به نداى حق، لبّیک گوید، هر لحظه از تشنگى و گرسنگى را که مى‏برد، مساوق با روزها و ماه‌ها از سایر ایام است. لذا [این ثواب‌های عظیم که برای روزۀ عید غدیر ذکر شده است] هیچ تعجبى ندارد، بلکه طبق موازین عقلی و فطری، این پاداش‌هاى عظیم براى عاملان در روز عید غدیر که بدون شکّ ناشى از پذیرش ولایت و ربط با آن حضرت است، صحیح و ثابت است.</w:t>
      </w:r>
      <w:r>
        <w:rPr>
          <w:rStyle w:val="FootnoteReference"/>
        </w:rPr>
        <w:footnoteReference w:id="4"/>
      </w:r>
    </w:p>
    <w:p>
      <w:pPr>
        <w:pStyle w:val="Heading3"/>
      </w:pPr>
      <w:r>
        <w:rPr>
          <w:rtl w:val="0"/>
          <w:lang w:val="fa-IR"/>
        </w:rPr>
        <w:t xml:space="preserve">عید غدیر، روزِ نزول جمع خیرات و برکات</w:t>
      </w:r>
    </w:p>
    <w:p>
      <w:pPr/>
      <w:r>
        <w:rPr>
          <w:rtl w:val="0"/>
          <w:lang w:val="fa-IR"/>
        </w:rPr>
        <w:t xml:space="preserve">عید غدیر روزى است که خداوند توبۀ آدم علیه‌السّلام را پذیرفت، و به سپاسِ آن روزه گرفت. و روزى است که خداوند تعالى ابراهیم را از آتش نجات بخشید، و </w:t>
      </w:r>
      <w:r>
        <w:rPr>
          <w:rStyle w:val="Arabi"/>
          <w:rtl w:val="0"/>
          <w:lang w:val="fa-IR"/>
        </w:rPr>
        <w:t xml:space="preserve">شُکراً لِلّه تعالى</w:t>
      </w:r>
      <w:r>
        <w:rPr>
          <w:rtl w:val="0"/>
          <w:lang w:val="fa-IR"/>
        </w:rPr>
        <w:t xml:space="preserve"> روزه گرفت. و روزى است که موسى علیه‌السّلام هارون را مقتدا و پیشوا ساخت، و به‌جهت سپاس خداوند، آن روز را روزه گرفت. و روزى است که عیسى علیه‌السّلام وصى خود شمعون صفا را معرّفى کرد، و </w:t>
      </w:r>
      <w:r>
        <w:rPr>
          <w:rStyle w:val="Arabi"/>
          <w:rtl w:val="0"/>
          <w:lang w:val="fa-IR"/>
        </w:rPr>
        <w:t xml:space="preserve">شُکراً لِلّه عزّوجلّ</w:t>
      </w:r>
      <w:r>
        <w:rPr>
          <w:rtl w:val="0"/>
          <w:lang w:val="fa-IR"/>
        </w:rPr>
        <w:t xml:space="preserve">، آن روز را روزه گرفت. و آن روز روزى است که رسول خدا صلّی اللَه علیه و آله و سلّم على علیه‌السّلام را پیشوا و امام مردم قرار داد، و در آن روز رسول خدا وصىّ خود را معیّن کرد، و تحقیقاً که آن روز، روزِ روزه، و قیام نماز، و اطعام، و صلۀ برادران دینى است، و در آن روز وسائل رضاى خداوند رحمان، و موجبات به‌خاک مالیده شدن بینى شیطان موجود است.‏</w:t>
      </w:r>
      <w:r>
        <w:rPr>
          <w:rStyle w:val="FootnoteReference"/>
        </w:rPr>
        <w:footnoteReference w:id="5"/>
      </w:r>
    </w:p>
    <w:p>
      <w:pPr>
        <w:pStyle w:val="Heading3"/>
      </w:pPr>
      <w:r>
        <w:rPr>
          <w:rtl w:val="0"/>
          <w:lang w:val="fa-IR"/>
        </w:rPr>
        <w:t xml:space="preserve">ثواب افطاری دادن در روز عید غدیر</w:t>
      </w:r>
    </w:p>
    <w:p>
      <w:pPr/>
      <w:r>
        <w:rPr>
          <w:rtl w:val="0"/>
          <w:lang w:val="fa-IR"/>
        </w:rPr>
        <w:t xml:space="preserve">از حضرت رضا علیه‌السّلام نقل شده است:</w:t>
      </w:r>
    </w:p>
    <w:p>
      <w:pPr>
        <w:pStyle w:val="NaghlegholMatn"/>
      </w:pPr>
      <w:r>
        <w:rPr>
          <w:rStyle w:val="RevayatArabi"/>
          <w:rtl w:val="0"/>
          <w:lang w:val="fa-IR"/>
        </w:rPr>
        <w:t xml:space="preserve">وَ یَومُ تَفطیرِ الصّائِمینَ، فَمنَ فَطَّرَ فیهِ صائِمًا مَؤمِنًا کان کَمَن أطعَمَ فِئآمًا</w:t>
      </w:r>
      <w:r>
        <w:rPr>
          <w:rStyle w:val="FootnoteReference"/>
        </w:rPr>
        <w:footnoteReference w:id="6"/>
      </w:r>
      <w:r>
        <w:rPr>
          <w:rStyle w:val="RevayatArabi"/>
          <w:rtl w:val="0"/>
          <w:lang w:val="fa-IR"/>
        </w:rPr>
        <w:t xml:space="preserve"> وَ فِئآمًا إلَى أن عَدَّ عَشرًا، ثُمَّ قال أوَتَدرى ما الفِئآمُ؟! قال: لا! قال: مِائةُ ألفٍ وَ هو یَومُ التَّهنِئَةِ یُهَنِّى بَعضُکُم بَعضًا.</w:t>
      </w:r>
    </w:p>
    <w:p>
      <w:pPr>
        <w:pStyle w:val="NaghlegholMatn"/>
      </w:pPr>
      <w:r>
        <w:rPr>
          <w:rtl w:val="0"/>
          <w:lang w:val="fa-IR"/>
        </w:rPr>
        <w:t xml:space="preserve">«روز غدیر روز افطار دادن‏ روزه‌داران است. پس کسى که در آن روز یک روزه‌دار را که مؤمن باشد افطار دهد، مانند آن است که یک فِئام، و یک فِئامِ دیگر، تا آنکه آن حضرت ده فِئام را شمردند، اطعام کرده باشد. و پس از این سخن حضرت فرمود: مى‌دانى یک فِئام چیست؟! گفتم: نه! حضرت فرمود: یک فئام، صدهزار نفر است.»</w:t>
      </w:r>
      <w:r>
        <w:rPr>
          <w:rStyle w:val="FootnoteReference"/>
        </w:rPr>
        <w:footnoteReference w:id="7"/>
      </w:r>
    </w:p>
    <w:p>
      <w:pPr>
        <w:pStyle w:val="Heading3"/>
      </w:pPr>
      <w:r>
        <w:rPr>
          <w:rtl w:val="0"/>
          <w:lang w:val="fa-IR"/>
        </w:rPr>
        <w:t xml:space="preserve">ثواب عمل خیر در روز غدیر</w:t>
      </w:r>
    </w:p>
    <w:p>
      <w:pPr/>
      <w:r>
        <w:rPr>
          <w:rtl w:val="0"/>
          <w:lang w:val="fa-IR"/>
        </w:rPr>
        <w:t xml:space="preserve">حضرت صادق علیه‌السّلام روایت کرده‌اند: </w:t>
      </w:r>
    </w:p>
    <w:p>
      <w:pPr>
        <w:pStyle w:val="NaghlegholMatn"/>
      </w:pPr>
      <w:r>
        <w:rPr>
          <w:rStyle w:val="RevayatArabi"/>
          <w:rtl w:val="0"/>
          <w:lang w:val="fa-IR"/>
        </w:rPr>
        <w:t xml:space="preserve">إنَّ العَمَلَ فى یَومِ الغَدیرِ: ثامِنَ عَشَرَ ذِى الحِجَّةِ یَعدِلُ العَمَلَ فى ثَمانینَ شَهرًا.</w:t>
      </w:r>
      <w:r>
        <w:rPr>
          <w:rtl w:val="0"/>
          <w:lang w:val="fa-IR"/>
        </w:rPr>
        <w:t xml:space="preserve"> «تحقیقاً که عمل در روز غدیر که هجدهم ماه ذى‌الحجّه است، معادل با عمل در هشتاد ماه است.»</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w:t>
      </w:r>
      <w:r>
        <w:rPr>
          <w:rtl w:val="0"/>
          <w:lang w:val="fa-IR"/>
        </w:rPr>
        <w:t xml:space="preserve">، ج‏9، ص 206.</w:t>
      </w:r>
    </w:p>
  </w:footnote>
  <w:footnote w:id="2">
    <w:p>
      <w:pPr>
        <w:pStyle w:val="FootnoteText"/>
      </w:pPr>
      <w:r>
        <w:rPr>
          <w:rStyle w:val="FootnoteReference"/>
        </w:rPr>
        <w:footnoteRef/>
      </w:r>
      <w:r>
        <w:t xml:space="preserve"> </w:t>
      </w:r>
      <w:r>
        <w:rPr>
          <w:rtl w:val="0"/>
          <w:lang w:val="fa-IR"/>
        </w:rPr>
        <w:t xml:space="preserve">امام شناسی</w:t>
      </w:r>
      <w:r>
        <w:rPr>
          <w:rtl w:val="0"/>
          <w:lang w:val="fa-IR"/>
        </w:rPr>
        <w:t xml:space="preserve">، ج 9، ص 208.</w:t>
      </w:r>
    </w:p>
  </w:footnote>
  <w:footnote w:id="3">
    <w:p>
      <w:pPr>
        <w:pStyle w:val="FootnoteText"/>
      </w:pPr>
      <w:r>
        <w:rPr>
          <w:rStyle w:val="FootnoteReference"/>
        </w:rPr>
        <w:footnoteRef/>
      </w:r>
      <w:r>
        <w:t xml:space="preserve"> </w:t>
      </w:r>
      <w:r>
        <w:rPr>
          <w:rtl w:val="0"/>
          <w:lang w:val="fa-IR"/>
        </w:rPr>
        <w:t xml:space="preserve">امام شناسی</w:t>
      </w:r>
      <w:r>
        <w:rPr>
          <w:rtl w:val="0"/>
          <w:lang w:val="fa-IR"/>
        </w:rPr>
        <w:t xml:space="preserve">، ج 9 ص 259، به نقل از </w:t>
      </w:r>
      <w:r>
        <w:rPr>
          <w:rtl w:val="0"/>
          <w:lang w:val="fa-IR"/>
        </w:rPr>
        <w:t xml:space="preserve">إقبال الأعمال</w:t>
      </w:r>
      <w:r>
        <w:rPr>
          <w:rtl w:val="0"/>
          <w:lang w:val="fa-IR"/>
        </w:rPr>
        <w:t xml:space="preserve"> ص 476.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ج‏9، ص262.</w:t>
      </w:r>
    </w:p>
  </w:footnote>
  <w:footnote w:id="5">
    <w:p>
      <w:pPr>
        <w:pStyle w:val="FootnoteText"/>
      </w:pPr>
      <w:r>
        <w:rPr>
          <w:rStyle w:val="FootnoteReference"/>
        </w:rPr>
        <w:footnoteRef/>
      </w:r>
      <w:r>
        <w:t xml:space="preserve"> </w:t>
      </w:r>
      <w:r>
        <w:rPr>
          <w:rtl w:val="0"/>
          <w:lang w:val="fa-IR"/>
        </w:rPr>
        <w:t xml:space="preserve">امام شناسى،</w:t>
      </w:r>
      <w:r>
        <w:rPr>
          <w:rtl w:val="0"/>
          <w:lang w:val="fa-IR"/>
        </w:rPr>
        <w:t xml:space="preserve"> ج‏9، ص244، به نقل از </w:t>
      </w:r>
      <w:r>
        <w:rPr>
          <w:rtl w:val="0"/>
          <w:lang w:val="fa-IR"/>
        </w:rPr>
        <w:t xml:space="preserve">إقبال الأعمال</w:t>
      </w:r>
      <w:r>
        <w:rPr>
          <w:rtl w:val="0"/>
          <w:lang w:val="fa-IR"/>
        </w:rPr>
        <w:t xml:space="preserve"> ص 466.</w:t>
      </w:r>
    </w:p>
  </w:footnote>
  <w:footnote w:id="6">
    <w:p>
      <w:pPr>
        <w:pStyle w:val="FootnoteText"/>
      </w:pPr>
      <w:r>
        <w:rPr>
          <w:rStyle w:val="FootnoteReference"/>
        </w:rPr>
        <w:footnoteRef/>
      </w:r>
      <w:r>
        <w:t xml:space="preserve"> </w:t>
      </w:r>
      <w:r>
        <w:rPr>
          <w:rtl w:val="0"/>
          <w:lang w:val="fa-IR"/>
        </w:rPr>
        <w:t xml:space="preserve">فِئآم در لغت به‌معناى جماعت از مردم است و در اینجا به‌خصوص حضرت مى‌فرماید که: این جماعت از مردم را که ثواب روزه دادن دارد، منظور یک‌صد‌هزار نفر است.</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9 ، ص 260، به نقل از </w:t>
      </w:r>
      <w:r>
        <w:rPr>
          <w:rtl w:val="0"/>
          <w:lang w:val="fa-IR"/>
        </w:rPr>
        <w:t xml:space="preserve">إقبال الأعمال</w:t>
      </w:r>
      <w:r>
        <w:rPr>
          <w:rtl w:val="0"/>
          <w:lang w:val="fa-IR"/>
        </w:rPr>
        <w:t xml:space="preserve"> ص 464.</w:t>
      </w:r>
    </w:p>
  </w:footnote>
  <w:footnote w:id="8">
    <w:p>
      <w:pPr>
        <w:pStyle w:val="FootnoteText"/>
      </w:pPr>
      <w:r>
        <w:rPr>
          <w:rStyle w:val="FootnoteReference"/>
        </w:rPr>
        <w:footnoteRef/>
      </w:r>
      <w:r>
        <w:t xml:space="preserve"> </w:t>
      </w:r>
      <w:r>
        <w:rPr>
          <w:rtl w:val="0"/>
          <w:lang w:val="fa-IR"/>
        </w:rPr>
        <w:t xml:space="preserve">امام شناسى</w:t>
      </w:r>
      <w:r>
        <w:rPr>
          <w:rtl w:val="0"/>
          <w:lang w:val="fa-IR"/>
        </w:rPr>
        <w:t xml:space="preserve">، ج‏ 9، ص 249، به نقل از </w:t>
      </w:r>
      <w:r>
        <w:rPr>
          <w:rtl w:val="0"/>
          <w:lang w:val="fa-IR"/>
        </w:rPr>
        <w:t xml:space="preserve">إقبال الأعمال</w:t>
      </w:r>
      <w:r>
        <w:rPr>
          <w:rtl w:val="0"/>
          <w:lang w:val="fa-IR"/>
        </w:rPr>
        <w:t xml:space="preserve"> ص 465.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