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حديث امام رضا علیه السلام راجع به شرايط امام‌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٢</w:t>
      </w:r>
    </w:p>
    <w:p>
      <w:pPr/>
      <w:r>
        <w:br w:type="page"/>
      </w:r>
    </w:p>
    <w:p>
      <w:pPr>
        <w:pStyle w:val="VasatChinArabi++"/>
      </w:pPr>
      <w:r>
        <w:rPr>
          <w:rtl w:val="0"/>
          <w:lang w:val="fa-IR"/>
        </w:rPr>
        <w:t xml:space="preserve">بسم اللَه الرحمن الرحیم</w:t>
      </w:r>
    </w:p>
    <w:p>
      <w:pPr/>
      <w:r>
        <w:rPr>
          <w:rtl w:val="0"/>
          <w:lang w:val="fa-IR"/>
        </w:rPr>
        <w:t xml:space="preserve">مرحوم محمَّد بن يعقوب كلينى </w:t>
      </w:r>
      <w:r>
        <w:rPr>
          <w:rStyle w:val="FootnoteReference"/>
        </w:rPr>
        <w:footnoteReference w:id="1"/>
      </w:r>
      <w:r>
        <w:rPr>
          <w:rtl w:val="0"/>
          <w:lang w:val="fa-IR"/>
        </w:rPr>
        <w:t xml:space="preserve"> حديث مى‌كند از عبد العزيز بن مسلم كه او گفت: ما با حضرت رضا علیه السلام در مرو بوديم و در بدو ورود در مسجد جامع مرو در روز جمعه‌اى به جماعت‌ رفتم. در آنجا از امر امامت بسيار سخن به ميان رفت و اختلافات مردم را در اين موضوع بيان مى‌كردند. پس از آن من بر حضرت رضا عليه السلام وارد شدم و او را از بحث و خوض مردم در امر امامت مطلّع نمودم.</w:t>
      </w:r>
    </w:p>
    <w:p>
      <w:pPr/>
      <w:r>
        <w:rPr>
          <w:rtl w:val="0"/>
          <w:lang w:val="fa-IR"/>
        </w:rPr>
        <w:t xml:space="preserve">آن حضرت تبسمى فرمود و سپس گفت: اى عبد العزيز اين مردم جاهلند و به آراء و افكار خود گول خورده‌اند. خداوند عزَّ و جلَّ جان پيغمبر خود را نگرفت مگر آنكه دين او را كامل نمود و قرآن را بر او فرو فرستاد كه ﴿</w:t>
      </w:r>
      <w:r>
        <w:rPr>
          <w:rStyle w:val="Ayat2Matn++"/>
          <w:rtl w:val="0"/>
          <w:lang w:val="fa-IR"/>
        </w:rPr>
        <w:t xml:space="preserve">فيهِ تِبْيانُ كُلِّ شَىْ‌ءٍ﴾</w:t>
      </w:r>
      <w:r>
        <w:rPr>
          <w:rtl w:val="0"/>
          <w:lang w:val="fa-IR"/>
        </w:rPr>
        <w:t xml:space="preserve">. در قرآن حلال و حرام بيان شده و حدود و احكام و جميع آنچه كه مردم بدانها نيازمندند همه را بيان فرموده، </w:t>
      </w:r>
      <w:r>
        <w:rPr>
          <w:rStyle w:val="RevayatArabi++"/>
          <w:rtl w:val="0"/>
          <w:lang w:val="fa-IR"/>
        </w:rPr>
        <w:t xml:space="preserve">فَقالَ عَزَّ وَ جَلَّ:</w:t>
      </w:r>
      <w:r>
        <w:rPr>
          <w:rtl w:val="0"/>
          <w:lang w:val="fa-IR"/>
        </w:rPr>
        <w:t xml:space="preserve"> ﴿</w:t>
      </w:r>
      <w:r>
        <w:rPr>
          <w:rStyle w:val="Ayat2Matn++"/>
          <w:rtl w:val="0"/>
          <w:lang w:val="fa-IR"/>
        </w:rPr>
        <w:t xml:space="preserve">ما فَرَّطْنا فِى الْكِتابِ مِنْ شَىْ‌ءٍ.﴾</w:t>
      </w:r>
      <w:r>
        <w:rPr>
          <w:rStyle w:val="FootnoteReference"/>
        </w:rPr>
        <w:footnoteReference w:id="2"/>
      </w:r>
    </w:p>
    <w:p>
      <w:pPr/>
      <w:r>
        <w:rPr>
          <w:rtl w:val="0"/>
          <w:lang w:val="fa-IR"/>
        </w:rPr>
        <w:t xml:space="preserve">و در حجة الوداع كه آخر عمر حضرت رسالت بود اين آيه را فرستاد: ﴿</w:t>
      </w:r>
      <w:r>
        <w:rPr>
          <w:rStyle w:val="Ayat2Matn++"/>
          <w:rtl w:val="0"/>
          <w:lang w:val="fa-IR"/>
        </w:rPr>
        <w:t xml:space="preserve">الْيَوْمَ أَكْمَلْتُ لَكُمْ دينَكُمْ وَ اتْمَمْتُ عَلَيْكُمْ نِعْمَتى وَ رَضيتُ لَكُمُ الْاسْلامَ ديناً</w:t>
      </w:r>
      <w:r>
        <w:rPr>
          <w:rtl w:val="0"/>
          <w:lang w:val="fa-IR"/>
        </w:rPr>
        <w:t xml:space="preserve">.﴾</w:t>
      </w:r>
      <w:r>
        <w:rPr>
          <w:rStyle w:val="FootnoteReference"/>
        </w:rPr>
        <w:footnoteReference w:id="3"/>
      </w:r>
      <w:r>
        <w:rPr>
          <w:rtl w:val="0"/>
          <w:lang w:val="fa-IR"/>
        </w:rPr>
        <w:t xml:space="preserve"> و امر امامت از تماميّت دين است و پيغمبر از دنيا نرفت مگر آنكه براى امّت خود معالم دين آنها را بيان فرموده و روشن ساخت و راه سلوك آنها را نشان داد و بر راه حقّ آنها را برقرار كرد و براى آنها على عليه السلام را راهنما و امام قرار داد، و تمام چيزهایى را كه امّت بدانها محتاج هستند روشن ساخت. پس كسى كه گمان كند خداوند عزَّ و جلَّ دين خود را كامل ننموده است كتاب خدا را ردّ كرده و كسى كه كتاب خدا را ردّ كند به خدا كافر شده است. آيا آنها قدر و منزلت امام را مى‌دانند و محل و مكانت او را مى‌شناسند تا بتوانند براى خود امام اختيار كنند؟</w:t>
      </w:r>
    </w:p>
    <w:p>
      <w:pPr/>
      <w:r>
        <w:rPr>
          <w:rStyle w:val="RevayatArabi++"/>
          <w:rtl w:val="0"/>
          <w:lang w:val="fa-IR"/>
        </w:rPr>
        <w:t xml:space="preserve">انَّ الْامامَةَ اجَلُّ قَدْراً وَ اعْظَمُ شَأَناً وَ أَعْلى مَکاناً وَ امْنَعُ جانِباً وَ ابْعَدُ غَوْراً مِنْ انْ يَبْلُغَهَا النّاسُ بِعُقُولِهِمْ اوْ يَنالُوها بِآرائِهِم اوْ يُقيمُوا اماماً بِاخْتيارِهِمْ</w:t>
      </w:r>
      <w:r>
        <w:rPr>
          <w:rtl/>
          <w:lang w:val="fa-IR"/>
        </w:rPr>
        <w:t xml:space="preserve">. «امامت قدرش بزرگتر و شأنش عظيم‌تر و درجه‌اش عالى‌تر و از دسترس مردم دورتر و رسيدن به حقيقت او مشكل‌تر است از آنكه مردم بتوانند با عقل‌هاى خود بدان برسند يا به آراء خود بدان دست يابند يا به اختيار خود امامى را تعيين كنند».</w:t>
      </w:r>
    </w:p>
    <w:p>
      <w:pPr/>
      <w:r>
        <w:rPr>
          <w:rtl w:val="0"/>
          <w:lang w:val="fa-IR"/>
        </w:rPr>
        <w:t xml:space="preserve">امامت مقامى است كه خداوند عزّ و جلّ به حضرت ابراهيم بعد از اعطاى نبوّت و خُلّت، در درجه سوّم عنايت فرمود، و فضيلتى است كه خدا او را بدان مشرف فرمود و بدان فضيلت ثنا و مدح خود را بر آن پيغمبر بيان كرد ﴿فَقالَ </w:t>
      </w:r>
      <w:r>
        <w:rPr>
          <w:rStyle w:val="Ayat2Matn++"/>
          <w:rtl w:val="0"/>
          <w:lang w:val="fa-IR"/>
        </w:rPr>
        <w:t xml:space="preserve">انِّى جاعِلُكَ لِلنّاسِ اماماً</w:t>
      </w:r>
      <w:r>
        <w:rPr>
          <w:rtl w:val="0"/>
          <w:lang w:val="fa-IR"/>
        </w:rPr>
        <w:t xml:space="preserve">.﴾</w:t>
      </w:r>
      <w:r>
        <w:rPr>
          <w:rStyle w:val="FootnoteReference"/>
        </w:rPr>
        <w:footnoteReference w:id="4"/>
      </w:r>
      <w:r>
        <w:rPr>
          <w:rtl/>
          <w:lang w:val="fa-IR"/>
        </w:rPr>
        <w:t xml:space="preserve">«من‌ ترا براى مردم امام قرار دادم». و از مسرتى كه ابراهيم از اين خطاب پيدا نمود عرض كرد:﴿</w:t>
      </w:r>
      <w:r>
        <w:rPr>
          <w:rStyle w:val="Ayat2Matn++"/>
          <w:rtl w:val="0"/>
          <w:lang w:val="fa-IR"/>
        </w:rPr>
        <w:t xml:space="preserve">وَ مِنْ ذُرِّيتَّى﴾</w:t>
      </w:r>
      <w:r>
        <w:rPr>
          <w:rtl w:val="0"/>
          <w:lang w:val="fa-IR"/>
        </w:rPr>
        <w:t xml:space="preserve">؟</w:t>
      </w:r>
      <w:r>
        <w:rPr>
          <w:rStyle w:val="FootnoteReference"/>
        </w:rPr>
        <w:footnoteReference w:id="5"/>
      </w:r>
      <w:r>
        <w:rPr>
          <w:rtl w:val="0"/>
          <w:lang w:val="fa-IR"/>
        </w:rPr>
        <w:t xml:space="preserve"> «آيا اين منصب امامت نصيب ذرّيّة من نيز مى‌گردد؟» خداوند تبارك و تعالى فرمود: ﴿</w:t>
      </w:r>
      <w:r>
        <w:rPr>
          <w:rStyle w:val="Ayat2Matn++"/>
          <w:rtl w:val="0"/>
          <w:lang w:val="fa-IR"/>
        </w:rPr>
        <w:t xml:space="preserve">لا يَنالُ عَهْدِى الظّالِمينَ﴾</w:t>
      </w:r>
      <w:r>
        <w:rPr>
          <w:rtl w:val="0"/>
          <w:lang w:val="fa-IR"/>
        </w:rPr>
        <w:t xml:space="preserve">.</w:t>
      </w:r>
      <w:r>
        <w:rPr>
          <w:rStyle w:val="FootnoteReference"/>
        </w:rPr>
        <w:footnoteReference w:id="6"/>
      </w:r>
      <w:r>
        <w:rPr>
          <w:rtl/>
          <w:lang w:val="fa-IR"/>
        </w:rPr>
        <w:t xml:space="preserve"> «عهد من به ستمكاران نخواهد رسيد». پس اين آيه، امامت هر ظالمى را تا روز قيامت باطل نمود و امامت مخصوص به پاكان و برگزيدگان شد.</w:t>
      </w:r>
    </w:p>
    <w:p>
      <w:pPr/>
      <w:r>
        <w:rPr>
          <w:rtl w:val="0"/>
          <w:lang w:val="fa-IR"/>
        </w:rPr>
        <w:t xml:space="preserve">سپس خداوند ابراهيم را گرامى داشته، و امامت را در آن طبقه از ذرّيّة او كه اهل طهارت و صفوت بودند قرار داد و فرمود:</w:t>
      </w:r>
    </w:p>
    <w:p>
      <w:pPr/>
      <w:r>
        <w:rPr>
          <w:rStyle w:val="Ayat2Matn++"/>
          <w:rtl w:val="0"/>
          <w:lang w:val="fa-IR"/>
        </w:rPr>
        <w:t xml:space="preserve">﴿وَ وَهَبْنا لَهُ اسْحقَ وَ يَعْقُوبَ نافِلَةً وَ كُلًّا جَعَلْنا صالِحينَ* وَ جَعَلْناهُمْ أَئِمَّةً يَهْدُونَ بِامْرِنا وَ اوْحَيْنا الَيْهِمْ فِعْلَ الْخَيْراتِ وَ اقامَ الصَّلوةِ وَ ايتاءَ الزَّكاةِ وَ كانُوا لَنا عابِدين﴾</w:t>
      </w:r>
      <w:r>
        <w:rPr>
          <w:rtl w:val="0"/>
          <w:lang w:val="fa-IR"/>
        </w:rPr>
        <w:t xml:space="preserve">.</w:t>
      </w:r>
      <w:r>
        <w:rPr>
          <w:rStyle w:val="FootnoteReference"/>
        </w:rPr>
        <w:footnoteReference w:id="7"/>
      </w:r>
      <w:r>
        <w:rPr>
          <w:rtl w:val="0"/>
          <w:lang w:val="fa-IR"/>
        </w:rPr>
        <w:t xml:space="preserve"> و پيوسته و هميشه امامت در ذريه ابراهيم بود بعضى از بعضى قرنا بعد قرن ارث مى‌بردند تا آنكه خدا آن را به پيغمبر اكرم ميراث داد و فرمود جل و علا</w:t>
      </w:r>
      <w:r>
        <w:rPr>
          <w:rStyle w:val="Ayat2Matn++"/>
          <w:rtl w:val="0"/>
          <w:lang w:val="fa-IR"/>
        </w:rPr>
        <w:t xml:space="preserve">: ﴿انَّ اوْلَى النّاسِ بِابِراهيمَ لَلَّذينَ اتَّبَعُوُه وَ هذَا النَّبِىُّ وَ الَّذينَ آمَنُوا وَ اللَه وَلِىُّ الْمُؤْمِنينَ﴾.</w:t>
      </w:r>
      <w:r>
        <w:rPr>
          <w:rStyle w:val="FootnoteReference"/>
        </w:rPr>
        <w:footnoteReference w:id="8"/>
      </w:r>
    </w:p>
    <w:p>
      <w:pPr/>
      <w:r>
        <w:rPr>
          <w:rtl w:val="0"/>
          <w:lang w:val="fa-IR"/>
        </w:rPr>
        <w:t xml:space="preserve">پس اين امامت اختصاص به رسول اللَه پيدا كرد و آن حضرت آن را به على عليه السلام سپرد به امر خداوند تعالى طبق ما فرض اللَه و سپس در ذرّيّه پاك و اصفياى از اولاد آن حضرت آنهایى كه به آنها علم و ايمان داده شد، قرار گرفت. خداوند تعالى فرمود:</w:t>
      </w:r>
    </w:p>
    <w:p>
      <w:pPr/>
      <w:r>
        <w:rPr>
          <w:rStyle w:val="Ayat2Matn++"/>
          <w:rtl w:val="0"/>
          <w:lang w:val="fa-IR"/>
        </w:rPr>
        <w:t xml:space="preserve">﴿وَ قالَ الَّذينَ اوتُوا الْعِلْمَ وَ الْايمانَ لَقَدْ لَبِثْتُمْ فى كِتابِ اللَه الى يَوْمِ الْبَعْثِ﴾.</w:t>
      </w:r>
      <w:r>
        <w:rPr>
          <w:rStyle w:val="FootnoteReference"/>
        </w:rPr>
        <w:footnoteReference w:id="9"/>
      </w:r>
    </w:p>
    <w:p>
      <w:pPr/>
      <w:r>
        <w:rPr>
          <w:rtl w:val="0"/>
          <w:lang w:val="fa-IR"/>
        </w:rPr>
        <w:t xml:space="preserve">پس آن امامت فقط در اولاد على عليهم السلام است تا روز رستاخيز چون پيغمبرى بعد از محمّد صلى اللَه عليه و آله و سلم نيست. بنابر اين از كجا اين جهّال امام اختيار مى‌كنند؟ به درستى كه امامت منزله و مقام پيمبران و ارث اوصياء است. امامت خلافت خدا و جانشينى رسول اللَه صلى اللَه عليه و آله و سلم و مقام امير المؤمنين عليه السلام و ميراث حسن و حسين عليهما السلام است. امامت زمامدارى دين و نظام مسلمين و موجب صلاح دنيا و عزّت مؤمنين است. امامت ريشه و اساس زنده، و شاخه‌هاى بلند اسلام است. به امام است كه نماز كامل و تمام مى‌شود و زكات و روزه و حجّ و جهاد هر يك موقعيّت و تماميّت خود را حائز مى‌گردند، و نيز موجب زيادى فيى‌ء و صدقات و به‌ جريان انداختن حدود و احكام و منع سرحدّات و اطراف است از دستبرد تعديات.</w:t>
      </w:r>
    </w:p>
    <w:p>
      <w:pPr/>
      <w:r>
        <w:rPr>
          <w:rtl w:val="0"/>
          <w:lang w:val="fa-IR"/>
        </w:rPr>
        <w:t xml:space="preserve">امام حلال خدا را حلال و حرام خدا را حرام مى‌گرداند و حدود خدا را اجرا مى‌نمايد و دست دشمنان و متجاوزان را از حريم دين خدا دور مى‌دارد و با حكمت و پندهاى نيكو مردم را به راه خدا مى‌خواند. امام مانند شمس عالمتاب است كه طلوع نموده و جهان را به نور خود روشن مى‌نمايد، و او بر فراز افق مكان و منزلتى دارد كه دستها و چشمها را ياراى وصول به آن نيست، امام ماه شب چهارده و نور دهنده دلها است و چراغ رخشان و نور بلند و نمايان و ستاره راهنما در قطعات تاريكى‌هاى شديد و در وسط بيابان‌ها و زمين‌هاى خشك و سوزان و در لجّه‌هاى درياها است، امام آب شيرين است در تشنگى و راهنما است بر راه سعادت و نجات دهنده است از سقوط و هلاكت، امام آتشى است بر فراز تپّه‌ها و موجب حرارت است براى افرادى كه خود را بدان گرم مى‌كنند و راهنما و دليل است در مواضع هلاكت، كسى كه از امام جدا شود هلاك گردد. امام ابر پر باران و باران درشت و فراوان و خورشيد نور دهنده و آسمان رحمت سايه گستر و زمين صاف و بى‌خاشاك و چشمه پر آب حيات و منبع آب و گلستان فضائل است. امام انيسى است با مهر و شفقت، و پدرى است با رحمت و عطوفت و برادرى است عديل و مهربان و چون مادرى است با كودك خردسال خود نيكو و رئوف، و ملجأ و پناه بندگان است در شدائد و مهمّات. امام امين خدا است بر آفريدگان او و حجت اوست بر بندگان او و خليفه اوست در بلاد او، و دعوت كننده مردمان است به سوى او، و منع كننده مفاسد و موانع است از حرم او، امام از هر گناهى منزه و از هر عيب و نقصى مبرّى است.</w:t>
      </w:r>
    </w:p>
    <w:p>
      <w:pPr/>
      <w:r>
        <w:rPr>
          <w:rtl w:val="0"/>
          <w:lang w:val="fa-IR"/>
        </w:rPr>
        <w:t xml:space="preserve">خداوند او را مخصوص به علم نموده و موسوم به حلم فرموده است و نظام دين و عزّ مسلمين و قهر و غضب بر منافقين و هلاكت كافرين است. امام يكّه و فريد زمان است كه هيچ كس را ياراى نزديكى به مقام او نيست و هيچ دانشمندى هم طراز و هم رتبه او نه، و نه از براى او بدلى يافت شود و نه مثل و مانندى، خداوند بخشاينده و كرم كننده او را بدين فضائل بدون طلب و اكتساب مخصوص گردانيده است. بنابراين چه كسى را قدرت معرفت امام است، يا مى‌تواند او را اختيار كند هيهات هيهات!</w:t>
      </w:r>
    </w:p>
    <w:p>
      <w:pPr/>
      <w:r>
        <w:rPr>
          <w:rtl w:val="0"/>
          <w:lang w:val="fa-IR"/>
        </w:rPr>
        <w:t xml:space="preserve">عقول در اينجا گم مى‌شود و دلها متحيّر مى‌گردد و خردها عاجز و سرگردان مى‌ماند و چشمها فرو مى‌خوابد. بزرگان كوچك مى‌شوند و حكيمان متحيّر مى‌گردند و حليمان كوتاه مى‌گردند و خطيبان محدود و محصور مى‌شوند و خردمندان به جهل اعتراف مى‌كنند و شاعران لال مى‌گردند و اديبان ناتوان مى‌شوند و بليغان عاجز مى‌گردند از توصيف شأنى از شئون امام يا فضيلتى از فضائل او، و همه و همه اقرار به عجز و اعتراف به تقصير مى‌نمايند. و چگونه تمام صفات و فضائل او را مى‌توان وصف كرد يا از كنه و ذات او سخنى گفت يا چيزى از شئون او را ادراك كرد يا بتوان كسى را بر مسند او نشاند كه مانند امام بهره دهد و بى‌نياز كند؟ نه، چنين نمى‌شود چگونه و به چه كيفيّت بتوان چنين كارى كرد؟ در حالى كه او مانند ستاره‌اى است بر فراز آسمان، كجا مى‌توانند مردم او را به دست گيرند، و توصيف كنندگان از حقيقت اوصاف او سخنى گويند؟ با اين حال مردم كجا مى‌توانند امام را اختيار كنند و عقلها كجا مى‌تواند اين حقيقت را درك كند و كجا مى‌تواند مانند امام كسى ديگر پيدا شود؟</w:t>
      </w:r>
    </w:p>
    <w:p>
      <w:pPr/>
      <w:r>
        <w:rPr>
          <w:rtl w:val="0"/>
          <w:lang w:val="fa-IR"/>
        </w:rPr>
        <w:t xml:space="preserve">آيا شما چنين گمان مى‌بريد كه امامت در غير آل رسول اللَه محمّد بن عبد اللَه صلى اللَه عليه و آله و سلم يافت مى‌شود؟ سوگند به خدا كه نفس‌هاى آنها به آنان دروغ گفت و امانى و آرزوهاى باطل در دلهاى آنان جا گرفت و بنابر اين بر مكان سخت و مرتفعى، و بر نردبان لرزان و صعبى بالا رفتند كه ناگهان قدمهاى آنان از فراز به پائين بلغزيد. آنها چنين خواستند كه امام را با عقل‌هاى ناقص و پريشان و گرفتار هوى و هوس خود تعيين كنند و با آراء گمراه كننده خود نصب نمايند پس هر چه بيشتر كوشيدند بيشتر دور شدند </w:t>
      </w:r>
      <w:r>
        <w:rPr>
          <w:rStyle w:val="Ayat2Matn++"/>
          <w:rtl w:val="0"/>
          <w:lang w:val="fa-IR"/>
        </w:rPr>
        <w:t xml:space="preserve">﴿قاتَلَهُمُ اللَه انَّى يُؤْفَكُونَ﴾</w:t>
      </w:r>
      <w:r>
        <w:rPr>
          <w:rtl w:val="0"/>
          <w:lang w:val="fa-IR"/>
        </w:rPr>
        <w:t xml:space="preserve">.</w:t>
      </w:r>
      <w:r>
        <w:rPr>
          <w:rStyle w:val="FootnoteReference"/>
        </w:rPr>
        <w:footnoteReference w:id="10"/>
      </w:r>
      <w:r>
        <w:rPr>
          <w:rtl w:val="0"/>
          <w:lang w:val="fa-IR"/>
        </w:rPr>
        <w:t xml:space="preserve"> و حقا قصد مطلب صعبى نمودند و با افك و دروغ سخن گفتند و گمراه شدند گمراهى آشكارى و در حيرت و سرگردانى در افتادند؛ زيرا با بصيرت امام را ترك گفتند، </w:t>
      </w:r>
      <w:r>
        <w:rPr>
          <w:rStyle w:val="Ayat2Matn++"/>
          <w:rtl w:val="0"/>
          <w:lang w:val="fa-IR"/>
        </w:rPr>
        <w:t xml:space="preserve">﴿</w:t>
      </w:r>
      <w:r>
        <w:rPr>
          <w:rtl w:val="0"/>
          <w:lang w:val="fa-IR"/>
        </w:rPr>
        <w:t xml:space="preserve">وَ </w:t>
      </w:r>
      <w:r>
        <w:rPr>
          <w:rStyle w:val="Ayat2Matn++"/>
          <w:rtl w:val="0"/>
          <w:lang w:val="fa-IR"/>
        </w:rPr>
        <w:t xml:space="preserve">زَيَّنَ لَهُمُ الشَّيْطانُ اعْمالَهُمْ فَصَدَّهُمْ عَنِ السَّبيلِ وَ كانُوا مَسْتَبْصِرينَ﴾</w:t>
      </w:r>
      <w:r>
        <w:rPr>
          <w:rtl w:val="0"/>
          <w:lang w:val="fa-IR"/>
        </w:rPr>
        <w:t xml:space="preserve">.</w:t>
      </w:r>
      <w:r>
        <w:rPr>
          <w:rStyle w:val="FootnoteReference"/>
        </w:rPr>
        <w:footnoteReference w:id="11"/>
      </w:r>
      <w:r>
        <w:rPr>
          <w:rtl w:val="0"/>
          <w:lang w:val="fa-IR"/>
        </w:rPr>
        <w:t xml:space="preserve"> از اختيار خدا و اختيار رسول خدا و اهل بيت رسول خدا اعراض نموده و به اختيارات خود گرويدند در حالى كه قرآن به اعلى صوت ندا در مى‌دهد: </w:t>
      </w:r>
      <w:r>
        <w:rPr>
          <w:rStyle w:val="Ayat2Matn++"/>
          <w:rtl w:val="0"/>
          <w:lang w:val="fa-IR"/>
        </w:rPr>
        <w:t xml:space="preserve">﴿وَ رَبُّكَ يَخْلُقُ ما يَشاءُ وَ يَخْتارُ ما كانَ لَهُمُ الْخِيَرَةُ سُبْحانَ اللَه وَ تَعالى عَمّا يُشْرِكُونَ﴾</w:t>
      </w:r>
      <w:r>
        <w:rPr>
          <w:rtl w:val="0"/>
          <w:lang w:val="fa-IR"/>
        </w:rPr>
        <w:t xml:space="preserve">.</w:t>
      </w:r>
      <w:r>
        <w:rPr>
          <w:rStyle w:val="FootnoteReference"/>
        </w:rPr>
        <w:footnoteReference w:id="12"/>
      </w:r>
      <w:r>
        <w:rPr>
          <w:rtl w:val="0"/>
          <w:lang w:val="fa-IR"/>
        </w:rPr>
        <w:t xml:space="preserve"> و نيز خداى عَزَّ و جَلَّ فرمود: </w:t>
      </w:r>
      <w:r>
        <w:rPr>
          <w:rStyle w:val="Ayat2Matn++"/>
          <w:rtl w:val="0"/>
          <w:lang w:val="fa-IR"/>
        </w:rPr>
        <w:t xml:space="preserve">﴿وَ ما كانَ لِمُؤْمِنٍ وَ لا مُؤْمِنَةٍ اذا قَضَى اللَه وَ رَسُولُهُ امْراً انْ يَكُونَ لَهُمُ الْخِيَرَةُ مِنْ امْرِهِمْ﴾</w:t>
      </w:r>
      <w:r>
        <w:rPr>
          <w:rStyle w:val="FootnoteReference"/>
        </w:rPr>
        <w:footnoteReference w:id="13"/>
      </w:r>
      <w:r>
        <w:rPr>
          <w:rtl w:val="0"/>
          <w:lang w:val="fa-IR"/>
        </w:rPr>
        <w:t xml:space="preserve">و نيز فرمود: </w:t>
      </w:r>
      <w:r>
        <w:rPr>
          <w:rStyle w:val="Ayat2Matn++"/>
          <w:rtl w:val="0"/>
          <w:lang w:val="fa-IR"/>
        </w:rPr>
        <w:t xml:space="preserve">﴿ما لَكُمْ كَيْفَ تَحْكُمُونَ* امّ لَكُمْ كِتابٌ فيهِ تَدْرُسُونَ* انَّ لَكُمْ فيهِ لَما تَخَيَّرُونَ* امْ لَكُمْ ايْمانٌ عَلَيْنا بَالِغَةٌ الى يَوْمِ الْقِيٰمَةِ انَّ لَكُمْ لَما تَحْكُمُونَ* سَلْهُمْ ايُّهُمْ بِذلِكَ زَعيمٌ* امْ لَهُمْ شُرَكاءُ فَلْيَأتُوا بِشُرَكائِهِمْ انْ كانُوا صادِقينَ﴾.</w:t>
      </w:r>
      <w:r>
        <w:rPr>
          <w:rStyle w:val="FootnoteReference"/>
        </w:rPr>
        <w:footnoteReference w:id="14"/>
      </w:r>
      <w:r>
        <w:rPr>
          <w:rtl w:val="0"/>
          <w:lang w:val="fa-IR"/>
        </w:rPr>
        <w:t xml:space="preserve"> و نيز خداوند عزّ و جلّ فرمود: </w:t>
      </w:r>
      <w:r>
        <w:rPr>
          <w:rStyle w:val="Ayat2Matn++"/>
          <w:rtl w:val="0"/>
          <w:lang w:val="fa-IR"/>
        </w:rPr>
        <w:t xml:space="preserve">﴿افَلا يَتَدَبَّرُونَ الْقُرْآنَ امْ عَلى قُلُوبٍ اقْفالُها</w:t>
      </w:r>
      <w:r>
        <w:rPr>
          <w:rStyle w:val="FootnoteReference"/>
        </w:rPr>
        <w:footnoteReference w:id="15"/>
      </w:r>
      <w:r>
        <w:rPr>
          <w:rStyle w:val="Ayat2Matn++"/>
          <w:rtl w:val="0"/>
          <w:lang w:val="fa-IR"/>
        </w:rPr>
        <w:t xml:space="preserve"> </w:t>
      </w:r>
      <w:r>
        <w:rPr>
          <w:rtl w:val="0"/>
          <w:lang w:val="fa-IR"/>
        </w:rPr>
        <w:t xml:space="preserve">يا آنكه</w:t>
      </w:r>
      <w:r>
        <w:rPr>
          <w:rStyle w:val="Ayat2Matn++"/>
          <w:rtl w:val="0"/>
          <w:lang w:val="fa-IR"/>
        </w:rPr>
        <w:t xml:space="preserve"> طَبَعَ اللَه عَلى قُلُوبِهمْ فَهُمْ لا يَفْقَهُونَ﴾</w:t>
      </w:r>
      <w:r>
        <w:rPr>
          <w:rStyle w:val="FootnoteReference"/>
        </w:rPr>
        <w:footnoteReference w:id="16"/>
      </w:r>
      <w:r>
        <w:rPr>
          <w:rStyle w:val="Ayat2Matn++"/>
          <w:rtl w:val="0"/>
          <w:lang w:val="fa-IR"/>
        </w:rPr>
        <w:t xml:space="preserve"> </w:t>
      </w:r>
      <w:r>
        <w:rPr>
          <w:rtl w:val="0"/>
          <w:lang w:val="fa-IR"/>
        </w:rPr>
        <w:t xml:space="preserve">يا آنكه</w:t>
      </w:r>
      <w:r>
        <w:rPr>
          <w:rStyle w:val="Ayat2Matn++"/>
          <w:rtl w:val="0"/>
          <w:lang w:val="fa-IR"/>
        </w:rPr>
        <w:t xml:space="preserve"> ﴿قالُوا سَمِعْنا وُ هْم لا يَسْمَعُونَ* انَّ شَرَّ الدَّوابِّ عِنْدَ اللَه الصُّمُّ الْبُكْمُ الَّذينَ لا يَعْقِلُونَ* وَ لَوْ عَلِمَ اللَه فيهِمْ خَيْراً لَاسْمَعَهُمْ وَ لَوْ اسْمَعَهُمْ لَتَوَلَّوْا وَ هُمْ مُعْرِضُونَ﴾</w:t>
      </w:r>
      <w:r>
        <w:rPr>
          <w:rStyle w:val="FootnoteReference"/>
        </w:rPr>
        <w:footnoteReference w:id="17"/>
      </w:r>
      <w:r>
        <w:rPr>
          <w:rStyle w:val="Ayat2Matn++"/>
          <w:rtl w:val="0"/>
          <w:lang w:val="fa-IR"/>
        </w:rPr>
        <w:t xml:space="preserve"> </w:t>
      </w:r>
      <w:r>
        <w:rPr>
          <w:rtl w:val="0"/>
          <w:lang w:val="fa-IR"/>
        </w:rPr>
        <w:t xml:space="preserve">يا آنكه</w:t>
      </w:r>
      <w:r>
        <w:rPr>
          <w:rStyle w:val="Ayat2Matn++"/>
          <w:rtl w:val="0"/>
          <w:lang w:val="fa-IR"/>
        </w:rPr>
        <w:t xml:space="preserve"> ﴿قالُوا سَمِعْنا وَ عَصَيْنا﴾.</w:t>
      </w:r>
      <w:r>
        <w:rPr>
          <w:rStyle w:val="FootnoteReference"/>
        </w:rPr>
        <w:footnoteReference w:id="18"/>
      </w:r>
    </w:p>
    <w:p>
      <w:pPr/>
      <w:r>
        <w:rPr>
          <w:rtl w:val="0"/>
          <w:lang w:val="fa-IR"/>
        </w:rPr>
        <w:t xml:space="preserve">بلكه امامت فضل خداست، كسى را كه بخواهد مى‌دهد و خداوند داراى فضل عظيمى است. چگونه براى آنان اختيار تعيين امام است؟ در حالى كه امام عالمى است كه براى او هيچ چيز مجهول نيست و نگهبان و حافظى است كه به هيچ وجه فتور و سستى در او پيدا نمى‌شود. معدن قُدس و طهارت است، و چشمه تقوى و زهادت، و علم و عبادت، اختصاص يافته به دعوت رسول، و نسل پاك بتول، در نَسَب او گفتگو و طعنى نيست، و هيچ ذى حسب و اعتبارى را ياراى نزديكى به مقام او نه. از بيت قريش است و از خاندان بلند مرتبه هاشم و از عترت رسول صلى اللَه عليه و آله و سلم و الرَّضا مِنَ اللَه عَزّ و جلّ. از تمام اشراف شريف‌تر و شاخه‌اى از عبد مناف. علمش پيوسته زنده و بيدار، حلمش كامل و استوار، در انجام وظائف امامت قادر و توانا است، و بر سياست عالم و دانا، پيروى او از ناحيه خدا بر همه خلق واجب آمده، و به امر خداوند عزَّ و جلَّ قائم شده، نصيحت كننده بندگان خداست، و نگهدارنده دين و آیين خدا. خداوند به انبياء و ائمه صلوات اللَه عليهم توفيقى خاصّ عنايت نموده و از خزانه علم و حكم خود چيزهایى به آنان مرحمت فرموده است كه به ديگران نداده‌، بنابراين علم آنها عالى‌تر و رفيع‌تر از علم تمام اهل زمان است. خدا مى‌فرمايد: </w:t>
      </w:r>
      <w:r>
        <w:rPr>
          <w:rStyle w:val="Ayat2Matn++"/>
          <w:rtl w:val="0"/>
          <w:lang w:val="fa-IR"/>
        </w:rPr>
        <w:t xml:space="preserve">﴿افَمَنْ يَهْدى الَى الْحَقِّ احَقُّ أَنْ يُتَّبَعَ أمْ مَنْ لا يَهِدّى الّا انْ يُهْدى فَما لَكُمْ كَيْفَ تَحْكُمُونَ﴾</w:t>
      </w:r>
      <w:r>
        <w:rPr>
          <w:rtl w:val="0"/>
          <w:lang w:val="fa-IR"/>
        </w:rPr>
        <w:t xml:space="preserve">.</w:t>
      </w:r>
      <w:r>
        <w:rPr>
          <w:rStyle w:val="FootnoteReference"/>
        </w:rPr>
        <w:footnoteReference w:id="19"/>
      </w:r>
      <w:r>
        <w:rPr>
          <w:rtl w:val="0"/>
          <w:lang w:val="fa-IR"/>
        </w:rPr>
        <w:t xml:space="preserve"> و نيز فرمايد: </w:t>
      </w:r>
      <w:r>
        <w:rPr>
          <w:rStyle w:val="Ayat2Matn++"/>
          <w:rtl w:val="0"/>
          <w:lang w:val="fa-IR"/>
        </w:rPr>
        <w:t xml:space="preserve">﴿وَ مَنْ يُؤْتَ الْحِكْمَةَ فَقَدْ اوتِىَ خَيْراً كَثيراً﴾.</w:t>
      </w:r>
      <w:r>
        <w:rPr>
          <w:rStyle w:val="FootnoteReference"/>
        </w:rPr>
        <w:footnoteReference w:id="20"/>
      </w:r>
      <w:r>
        <w:rPr>
          <w:rtl w:val="0"/>
          <w:lang w:val="fa-IR"/>
        </w:rPr>
        <w:t xml:space="preserve"> و درباره طالوت گويد: </w:t>
      </w:r>
      <w:r>
        <w:rPr>
          <w:rStyle w:val="Ayat2Matn++"/>
          <w:rtl w:val="0"/>
          <w:lang w:val="fa-IR"/>
        </w:rPr>
        <w:t xml:space="preserve">﴿انَّ اللَه اصْطَفاهُ عَلَيْكُمْ وَ زادَهُ بَسْطَةً فِى الْعِلْمِ وَ الْجِسْمِ وَ اللَه يُؤْتى مُلْكَهُ مَنْ يَشاءُ وَ اللَه واسِعٌ عَليمٌ﴾.</w:t>
      </w:r>
      <w:r>
        <w:rPr>
          <w:rStyle w:val="FootnoteReference"/>
        </w:rPr>
        <w:footnoteReference w:id="21"/>
      </w:r>
      <w:r>
        <w:rPr>
          <w:rtl w:val="0"/>
          <w:lang w:val="fa-IR"/>
        </w:rPr>
        <w:t xml:space="preserve"> و به پيمبرش صلى اللَه عليه و آله و سلم فرموده: </w:t>
      </w:r>
      <w:r>
        <w:rPr>
          <w:rStyle w:val="Ayat2Matn++"/>
          <w:rtl w:val="0"/>
          <w:lang w:val="fa-IR"/>
        </w:rPr>
        <w:t xml:space="preserve">﴿انْزَلَ اللَه عَلَيْكَ الْكِتابَ وَ الْحِكْمَةَ وَ عَلَّمَكَ مَا لَمْ تَكُنْ تَعْلَمُ و كانَ فَضْلُ اللَه عَلَيْكَ عَظيماً﴾</w:t>
      </w:r>
      <w:r>
        <w:rPr>
          <w:rtl w:val="0"/>
          <w:lang w:val="fa-IR"/>
        </w:rPr>
        <w:t xml:space="preserve">.</w:t>
      </w:r>
      <w:r>
        <w:rPr>
          <w:rStyle w:val="FootnoteReference"/>
        </w:rPr>
        <w:footnoteReference w:id="22"/>
      </w:r>
      <w:r>
        <w:rPr>
          <w:rtl w:val="0"/>
          <w:lang w:val="fa-IR"/>
        </w:rPr>
        <w:t xml:space="preserve"> و درباره ائمّة از اهل بيت او و عترت او و ذرّيّه او صلوات اللَه عليهم فرموده است: </w:t>
      </w:r>
      <w:r>
        <w:rPr>
          <w:rStyle w:val="Ayat2Matn++"/>
          <w:rtl w:val="0"/>
          <w:lang w:val="fa-IR"/>
        </w:rPr>
        <w:t xml:space="preserve">﴿امْ يَحْسُدُونَ النّاسَ عَلى ما ءاتهُمُ اللَه مِنْ فَضْلِهِ فَقَدْ آتَيْنا آلَ ابْراهيمَ الْكِتابَ وَ الْحِكْمَةَ وَ آتَيْناهُمْ مُلْكاً عَظيماً فَمِنْهُمْ مَنْ آمَنَ بِهِ وَ مِنْهُمْ مَنْ صَدَّ عَنْهُ وَ كَفى بِجَهَنَّمَ سَعيراً﴾</w:t>
      </w:r>
      <w:r>
        <w:rPr>
          <w:rtl w:val="0"/>
          <w:lang w:val="fa-IR"/>
        </w:rPr>
        <w:t xml:space="preserve">.</w:t>
      </w:r>
      <w:r>
        <w:rPr>
          <w:rStyle w:val="FootnoteReference"/>
        </w:rPr>
        <w:footnoteReference w:id="23"/>
      </w:r>
    </w:p>
    <w:p>
      <w:pPr/>
      <w:r>
        <w:rPr>
          <w:rtl w:val="0"/>
          <w:lang w:val="fa-IR"/>
        </w:rPr>
        <w:t xml:space="preserve">چون بنده‌اى را خدا براى ولايت و سرپرستى امور بندگانش اختيار كند سينه او را براى تحمّل اين بار، منشرح و گشاده مى‌دارد و در دل او چشمه‌هاى حكمت قرار مى‌دهد و پيوسته از علوم خود بدو الهام مى‌نمايد به طورى كه ديگر از جواب فرو نخواهد ماند و از راه صواب حيران و سرگردان نخواهد شد، و بنابراين او به عصمت الهى معصوم و به تاييد و توفيق او مؤيّد و موفَّق خواهد بود، از هر گونه اشتباهى يا لغزش و خطائى مأمون و مصون خواهد بود. و اين مقام را خدا به او اختصاص داده تا بر بندگانش حجّت بوده باشد و بر آفريدگانش شاهد و گواه‌ </w:t>
      </w:r>
      <w:r>
        <w:rPr>
          <w:rStyle w:val="Ayat2Matn++"/>
          <w:rtl w:val="0"/>
          <w:lang w:val="fa-IR"/>
        </w:rPr>
        <w:t xml:space="preserve">﴿و ذلِكَ فَضْلُ اللَه يُؤْتيهِ مَنْ يَشاءُ وَ اللَه ذُو الْفَضْلِ الْعَظيمِ﴾</w:t>
      </w:r>
      <w:r>
        <w:rPr>
          <w:rtl w:val="0"/>
          <w:lang w:val="fa-IR"/>
        </w:rPr>
        <w:t xml:space="preserve">.</w:t>
      </w:r>
      <w:r>
        <w:rPr>
          <w:rStyle w:val="FootnoteReference"/>
        </w:rPr>
        <w:footnoteReference w:id="24"/>
      </w:r>
    </w:p>
    <w:p>
      <w:pPr/>
      <w:r>
        <w:rPr>
          <w:rtl w:val="0"/>
          <w:lang w:val="fa-IR"/>
        </w:rPr>
        <w:t xml:space="preserve">آيا كسى مى‌تواند اين مَلكات را داشته باشد و قدرت بر وظائف امامت را دارا باشد تا او را انتخاب كنند؟ يا اينكه مختار و منتَخَب آنان داراى چنين صفاتى است تا او را مقدّم دارند؟ سوگند به بيت اللَه كه از حقّ تجاوز كردند و كتاب خدا را چنان به پشت سر انداختند گويا كه اصلًا بر آن دانا نبودند. در كتاب خدا راه هدايت مشهود و شفاى از هر گزند و مصيبتى معلوم بود لكن آنرا به دور انداختند، و از اهواء و خيالات خود پيروى كردند. خداوند آنان را مذمّت نموده و وجهﮤ بصيرت آنها را برو در افكنده، ديدۀ دل آنان را كور و قلب آنان را هلاك و تباه فرموده است‌.</w:t>
      </w:r>
    </w:p>
    <w:p>
      <w:pPr>
        <w:pStyle w:val="NormalA++"/>
      </w:pPr>
      <w:r>
        <w:rPr>
          <w:rtl w:val="0"/>
          <w:lang w:val="fa-IR"/>
        </w:rPr>
        <w:t xml:space="preserve">قالَ اللَه تَعالى:</w:t>
      </w:r>
      <w:r>
        <w:rPr>
          <w:rtl w:val="0"/>
          <w:lang w:val="fa-IR"/>
        </w:rPr>
        <w:t xml:space="preserve"> </w:t>
      </w:r>
      <w:r>
        <w:rPr>
          <w:rStyle w:val="Ayat2Matn++"/>
          <w:rtl w:val="0"/>
          <w:lang w:val="fa-IR"/>
        </w:rPr>
        <w:t xml:space="preserve">﴿وَ مَنْ اضَلُّ مِمَّنِ اتَّبَعَ هَواهُ بِغَيْرِ هُدًى مِنَ اللَه انَّ اللَه لا يَهْدِى الْقَوْمَ الظّالِمين﴾</w:t>
      </w:r>
      <w:r>
        <w:rPr>
          <w:rStyle w:val="FootnoteReference"/>
        </w:rPr>
        <w:footnoteReference w:id="25"/>
      </w:r>
      <w:r>
        <w:rPr>
          <w:rtl w:val="0"/>
          <w:lang w:val="fa-IR"/>
        </w:rPr>
        <w:t xml:space="preserve"> و نيز فرمود: </w:t>
      </w:r>
      <w:r>
        <w:rPr>
          <w:rStyle w:val="Ayat2Matn++"/>
          <w:rtl w:val="0"/>
          <w:lang w:val="fa-IR"/>
        </w:rPr>
        <w:t xml:space="preserve">﴿فَتَعْساً لَهُمْ وَ اضَلَّ اعْمالَهُمْ﴾</w:t>
      </w:r>
      <w:r>
        <w:rPr>
          <w:rStyle w:val="FootnoteReference"/>
        </w:rPr>
        <w:footnoteReference w:id="26"/>
      </w:r>
      <w:r>
        <w:rPr>
          <w:rtl w:val="0"/>
          <w:lang w:val="fa-IR"/>
        </w:rPr>
        <w:t xml:space="preserve"> و نيز فرمود: </w:t>
      </w:r>
      <w:r>
        <w:rPr>
          <w:rStyle w:val="Ayat2Matn++"/>
          <w:rtl w:val="0"/>
          <w:lang w:val="fa-IR"/>
        </w:rPr>
        <w:t xml:space="preserve">﴿كَبُرَ مَقْتاً عِنْدَ اللَه وَ عِنْدَ الَّذينَ آمَنُوا كَذلِكَ يَطْبَعُ اللَه عَلى كُلِّ قَلْبِ مُتَكَبِّرٍ جَبّارٍ﴾.</w:t>
      </w:r>
      <w:r>
        <w:rPr>
          <w:rStyle w:val="FootnoteReference"/>
        </w:rPr>
        <w:footnoteReference w:id="27"/>
      </w:r>
    </w:p>
    <w:p>
      <w:pPr>
        <w:pStyle w:val="NormalA++"/>
      </w:pPr>
      <w:r>
        <w:rPr>
          <w:rtl w:val="0"/>
          <w:lang w:val="fa-IR"/>
        </w:rPr>
        <w:t xml:space="preserve">و صلّى اللَه على النَّبىِّ مُحمّد و آله و سلّم تسليماً کثيراً</w:t>
      </w:r>
      <w:r>
        <w:rPr>
          <w:rtl w:val="0"/>
          <w:lang w:val="fa-IR"/>
        </w:rPr>
        <w:t xml:space="preserve">.</w:t>
      </w:r>
      <w:r>
        <w:rPr>
          <w:rStyle w:val="FootnoteReference"/>
        </w:rPr>
        <w:footnoteReference w:id="2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اصول كافى، ج ١، ص ١٩٨</w:t>
      </w:r>
    </w:p>
  </w:footnote>
  <w:footnote w:id="2">
    <w:p>
      <w:pPr>
        <w:pStyle w:val="FootnoteText"/>
      </w:pPr>
      <w:r>
        <w:rPr>
          <w:rStyle w:val="FootnoteReference"/>
        </w:rPr>
        <w:footnoteRef/>
      </w:r>
      <w:r>
        <w:t xml:space="preserve"> </w:t>
      </w:r>
      <w:r>
        <w:rPr>
          <w:rtl w:val="0"/>
          <w:lang w:val="fa-IR"/>
        </w:rPr>
        <w:t xml:space="preserve"> سوره الأنعام (٦) آيه ٣٨</w:t>
      </w:r>
    </w:p>
  </w:footnote>
  <w:footnote w:id="3">
    <w:p>
      <w:pPr>
        <w:pStyle w:val="FootnoteText"/>
      </w:pPr>
      <w:r>
        <w:rPr>
          <w:rStyle w:val="FootnoteReference"/>
        </w:rPr>
        <w:footnoteRef/>
      </w:r>
      <w:r>
        <w:t xml:space="preserve"> </w:t>
      </w:r>
      <w:r>
        <w:rPr>
          <w:rtl w:val="0"/>
          <w:lang w:val="fa-IR"/>
        </w:rPr>
        <w:t xml:space="preserve"> سوره المائدة (٥) آيه ٣.</w:t>
      </w:r>
    </w:p>
  </w:footnote>
  <w:footnote w:id="4">
    <w:p>
      <w:pPr>
        <w:pStyle w:val="FootnoteText"/>
      </w:pPr>
      <w:r>
        <w:rPr>
          <w:rStyle w:val="FootnoteReference"/>
        </w:rPr>
        <w:footnoteRef/>
      </w:r>
      <w:r>
        <w:t xml:space="preserve"> </w:t>
      </w:r>
      <w:r>
        <w:rPr>
          <w:rtl w:val="0"/>
          <w:lang w:val="fa-IR"/>
        </w:rPr>
        <w:t xml:space="preserve"> سوره البقرة (٢) آيه ١٢٤.</w:t>
      </w:r>
    </w:p>
  </w:footnote>
  <w:footnote w:id="5">
    <w:p>
      <w:pPr>
        <w:pStyle w:val="FootnoteText"/>
      </w:pPr>
      <w:r>
        <w:rPr>
          <w:rStyle w:val="FootnoteReference"/>
        </w:rPr>
        <w:footnoteRef/>
      </w:r>
      <w:r>
        <w:t xml:space="preserve"> </w:t>
      </w:r>
      <w:r>
        <w:rPr>
          <w:rtl w:val="0"/>
          <w:lang w:val="fa-IR"/>
        </w:rPr>
        <w:t xml:space="preserve"> سوره البقرة (٢) آيه ١٢٤.</w:t>
      </w:r>
    </w:p>
  </w:footnote>
  <w:footnote w:id="6">
    <w:p>
      <w:pPr>
        <w:pStyle w:val="FootnoteText"/>
      </w:pPr>
      <w:r>
        <w:rPr>
          <w:rStyle w:val="FootnoteReference"/>
        </w:rPr>
        <w:footnoteRef/>
      </w:r>
      <w:r>
        <w:t xml:space="preserve"> </w:t>
      </w:r>
      <w:r>
        <w:rPr>
          <w:rtl w:val="0"/>
          <w:lang w:val="fa-IR"/>
        </w:rPr>
        <w:t xml:space="preserve"> سوره البقرة (٢) آيه ١٢٤.</w:t>
      </w:r>
    </w:p>
  </w:footnote>
  <w:footnote w:id="7">
    <w:p>
      <w:pPr>
        <w:pStyle w:val="FootnoteText"/>
      </w:pPr>
      <w:r>
        <w:rPr>
          <w:rStyle w:val="FootnoteReference"/>
        </w:rPr>
        <w:footnoteRef/>
      </w:r>
      <w:r>
        <w:t xml:space="preserve"> </w:t>
      </w:r>
      <w:r>
        <w:rPr>
          <w:rtl w:val="0"/>
          <w:lang w:val="fa-IR"/>
        </w:rPr>
        <w:t xml:space="preserve"> سوره الأنبياء (٢١) آيه ٧٢ و ٧٣</w:t>
      </w:r>
    </w:p>
  </w:footnote>
  <w:footnote w:id="8">
    <w:p>
      <w:pPr/>
      <w:r>
        <w:rPr>
          <w:rStyle w:val="FootnoteReference"/>
        </w:rPr>
        <w:footnoteRef/>
      </w:r>
      <w:r>
        <w:t xml:space="preserve"> </w:t>
      </w:r>
      <w:r>
        <w:rPr>
          <w:rtl w:val="0"/>
          <w:lang w:val="fa-IR"/>
        </w:rPr>
        <w:t xml:space="preserve"> سوره آل‌عمران (٣) آيه ٦٨.</w:t>
      </w:r>
    </w:p>
  </w:footnote>
  <w:footnote w:id="9">
    <w:p>
      <w:pPr>
        <w:pStyle w:val="FootnoteText"/>
      </w:pPr>
      <w:r>
        <w:rPr>
          <w:rStyle w:val="FootnoteReference"/>
        </w:rPr>
        <w:footnoteRef/>
      </w:r>
      <w:r>
        <w:t xml:space="preserve"> </w:t>
      </w:r>
      <w:r>
        <w:rPr>
          <w:rtl w:val="0"/>
          <w:lang w:val="fa-IR"/>
        </w:rPr>
        <w:t xml:space="preserve"> سوره الروم (٣٠) آيه ٥٦</w:t>
      </w:r>
    </w:p>
  </w:footnote>
  <w:footnote w:id="10">
    <w:p>
      <w:pPr>
        <w:pStyle w:val="FootnoteText"/>
      </w:pPr>
      <w:r>
        <w:rPr>
          <w:rStyle w:val="FootnoteReference"/>
        </w:rPr>
        <w:footnoteRef/>
      </w:r>
      <w:r>
        <w:t xml:space="preserve"> </w:t>
      </w:r>
      <w:r>
        <w:rPr>
          <w:rtl w:val="0"/>
          <w:lang w:val="fa-IR"/>
        </w:rPr>
        <w:t xml:space="preserve"> سوره التوبة (٩) آيه ٣٠</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سوره العنكبوت (٢٩) آيه ٣٨.</w:t>
      </w:r>
    </w:p>
  </w:footnote>
  <w:footnote w:id="12">
    <w:p>
      <w:pPr>
        <w:pStyle w:val="FootnoteText"/>
      </w:pPr>
      <w:r>
        <w:rPr>
          <w:rStyle w:val="FootnoteReference"/>
        </w:rPr>
        <w:footnoteRef/>
      </w:r>
      <w:r>
        <w:t xml:space="preserve"> </w:t>
      </w:r>
      <w:r>
        <w:rPr>
          <w:rtl w:val="0"/>
          <w:lang w:val="fa-IR"/>
        </w:rPr>
        <w:t xml:space="preserve"> سوره القصص (٢٨) آيه ٦٨</w:t>
      </w:r>
    </w:p>
  </w:footnote>
  <w:footnote w:id="13">
    <w:p>
      <w:pPr>
        <w:pStyle w:val="FootnoteText"/>
      </w:pPr>
      <w:r>
        <w:rPr>
          <w:rStyle w:val="FootnoteReference"/>
        </w:rPr>
        <w:footnoteRef/>
      </w:r>
      <w:r>
        <w:t xml:space="preserve"> </w:t>
      </w:r>
      <w:r>
        <w:rPr>
          <w:rtl w:val="0"/>
          <w:lang w:val="fa-IR"/>
        </w:rPr>
        <w:t xml:space="preserve"> سوره الأحزاب (٣٣) آيه ٣٦</w:t>
      </w:r>
    </w:p>
  </w:footnote>
  <w:footnote w:id="14">
    <w:p>
      <w:pPr>
        <w:pStyle w:val="FootnoteText"/>
      </w:pPr>
      <w:r>
        <w:rPr>
          <w:rStyle w:val="FootnoteReference"/>
        </w:rPr>
        <w:footnoteRef/>
      </w:r>
      <w:r>
        <w:t xml:space="preserve"> </w:t>
      </w:r>
      <w:r>
        <w:rPr>
          <w:rtl w:val="0"/>
          <w:lang w:val="fa-IR"/>
        </w:rPr>
        <w:t xml:space="preserve"> سوره القلم (٦٨) آيه ٣٧ الی ٤٢.</w:t>
      </w:r>
    </w:p>
  </w:footnote>
  <w:footnote w:id="15">
    <w:p>
      <w:pPr>
        <w:pStyle w:val="FootnoteText"/>
      </w:pPr>
      <w:r>
        <w:rPr>
          <w:rStyle w:val="FootnoteReference"/>
        </w:rPr>
        <w:footnoteRef/>
      </w:r>
      <w:r>
        <w:t xml:space="preserve"> </w:t>
      </w:r>
      <w:r>
        <w:rPr>
          <w:rtl w:val="0"/>
          <w:lang w:val="fa-IR"/>
        </w:rPr>
        <w:t xml:space="preserve"> سوره محمد (٤٧) آيه ٢٤.</w:t>
      </w:r>
    </w:p>
  </w:footnote>
  <w:footnote w:id="16">
    <w:p>
      <w:pPr>
        <w:pStyle w:val="FootnoteText"/>
      </w:pPr>
      <w:r>
        <w:rPr>
          <w:rStyle w:val="FootnoteReference"/>
        </w:rPr>
        <w:footnoteRef/>
      </w:r>
      <w:r>
        <w:t xml:space="preserve"> </w:t>
      </w:r>
      <w:r>
        <w:rPr>
          <w:rtl w:val="0"/>
          <w:lang w:val="fa-IR"/>
        </w:rPr>
        <w:t xml:space="preserve"> سوره التوبة (٩) آيه ٨٧.</w:t>
      </w:r>
    </w:p>
  </w:footnote>
  <w:footnote w:id="17">
    <w:p>
      <w:pPr>
        <w:pStyle w:val="FootnoteText"/>
      </w:pPr>
      <w:r>
        <w:rPr>
          <w:rStyle w:val="FootnoteReference"/>
        </w:rPr>
        <w:footnoteRef/>
      </w:r>
      <w:r>
        <w:t xml:space="preserve"> </w:t>
      </w:r>
      <w:r>
        <w:rPr>
          <w:rtl w:val="0"/>
          <w:lang w:val="fa-IR"/>
        </w:rPr>
        <w:t xml:space="preserve"> سوره الأنفال (٨) آيه ٢١ الی ٢٣.</w:t>
      </w:r>
    </w:p>
  </w:footnote>
  <w:footnote w:id="18">
    <w:p>
      <w:pPr>
        <w:pStyle w:val="FootnoteText"/>
      </w:pPr>
      <w:r>
        <w:rPr>
          <w:rStyle w:val="FootnoteReference"/>
        </w:rPr>
        <w:footnoteRef/>
      </w:r>
      <w:r>
        <w:t xml:space="preserve"> </w:t>
      </w:r>
      <w:r>
        <w:rPr>
          <w:rtl w:val="0"/>
          <w:lang w:val="fa-IR"/>
        </w:rPr>
        <w:t xml:space="preserve"> سوره البقرة (٢) آيه ٩٣.</w:t>
      </w:r>
    </w:p>
  </w:footnote>
  <w:footnote w:id="19">
    <w:p>
      <w:pPr>
        <w:pStyle w:val="FootnoteText"/>
      </w:pPr>
      <w:r>
        <w:rPr>
          <w:rStyle w:val="FootnoteReference"/>
        </w:rPr>
        <w:footnoteRef/>
      </w:r>
      <w:r>
        <w:t xml:space="preserve"> </w:t>
      </w:r>
      <w:r>
        <w:rPr>
          <w:rtl w:val="0"/>
          <w:lang w:val="fa-IR"/>
        </w:rPr>
        <w:t xml:space="preserve"> سوره يونس (١٠) آيه ٣٥.</w:t>
      </w:r>
    </w:p>
  </w:footnote>
  <w:footnote w:id="20">
    <w:p>
      <w:pPr>
        <w:pStyle w:val="FootnoteText"/>
      </w:pPr>
      <w:r>
        <w:rPr>
          <w:rStyle w:val="FootnoteReference"/>
        </w:rPr>
        <w:footnoteRef/>
      </w:r>
      <w:r>
        <w:t xml:space="preserve"> </w:t>
      </w:r>
      <w:r>
        <w:rPr>
          <w:rtl w:val="0"/>
          <w:lang w:val="fa-IR"/>
        </w:rPr>
        <w:t xml:space="preserve"> سوره البقرة (٢) آيه ٢٦٩.</w:t>
      </w:r>
    </w:p>
  </w:footnote>
  <w:footnote w:id="21">
    <w:p>
      <w:pPr>
        <w:pStyle w:val="FootnoteText"/>
      </w:pPr>
      <w:r>
        <w:rPr>
          <w:rStyle w:val="FootnoteReference"/>
        </w:rPr>
        <w:footnoteRef/>
      </w:r>
      <w:r>
        <w:t xml:space="preserve"> </w:t>
      </w:r>
      <w:r>
        <w:rPr>
          <w:rtl w:val="0"/>
          <w:lang w:val="fa-IR"/>
        </w:rPr>
        <w:t xml:space="preserve"> سوره البقرة (٢) آيه ٢٤٧.</w:t>
      </w:r>
    </w:p>
  </w:footnote>
  <w:footnote w:id="22">
    <w:p>
      <w:pPr>
        <w:pStyle w:val="FootnoteText"/>
      </w:pPr>
      <w:r>
        <w:rPr>
          <w:rStyle w:val="FootnoteReference"/>
        </w:rPr>
        <w:footnoteRef/>
      </w:r>
      <w:r>
        <w:t xml:space="preserve"> </w:t>
      </w:r>
      <w:r>
        <w:rPr>
          <w:rtl w:val="0"/>
          <w:lang w:val="fa-IR"/>
        </w:rPr>
        <w:t xml:space="preserve"> سوره النّساء (٤) آيه ١١٣.</w:t>
      </w:r>
    </w:p>
  </w:footnote>
  <w:footnote w:id="23">
    <w:p>
      <w:pPr>
        <w:pStyle w:val="FootnoteText"/>
      </w:pPr>
      <w:r>
        <w:rPr>
          <w:rStyle w:val="FootnoteReference"/>
        </w:rPr>
        <w:footnoteRef/>
      </w:r>
      <w:r>
        <w:t xml:space="preserve"> </w:t>
      </w:r>
      <w:r>
        <w:rPr>
          <w:rtl w:val="0"/>
          <w:lang w:val="fa-IR"/>
        </w:rPr>
        <w:t xml:space="preserve"> سوره النّساء (٤) آيه ٥٣ و ٥٤.</w:t>
      </w:r>
    </w:p>
  </w:footnote>
  <w:footnote w:id="24">
    <w:p>
      <w:pPr>
        <w:pStyle w:val="FootnoteText"/>
      </w:pPr>
      <w:r>
        <w:rPr>
          <w:rStyle w:val="FootnoteReference"/>
        </w:rPr>
        <w:footnoteRef/>
      </w:r>
      <w:r>
        <w:t xml:space="preserve"> </w:t>
      </w:r>
      <w:r>
        <w:rPr>
          <w:rtl w:val="0"/>
          <w:lang w:val="fa-IR"/>
        </w:rPr>
        <w:t xml:space="preserve"> سوره الجمعة (٦٢) آيه ٤.</w:t>
      </w:r>
    </w:p>
  </w:footnote>
  <w:footnote w:id="25">
    <w:p>
      <w:pPr>
        <w:pStyle w:val="FootnoteText"/>
      </w:pPr>
      <w:r>
        <w:rPr>
          <w:rStyle w:val="FootnoteReference"/>
        </w:rPr>
        <w:footnoteRef/>
      </w:r>
      <w:r>
        <w:t xml:space="preserve"> </w:t>
      </w:r>
      <w:r>
        <w:rPr>
          <w:rtl w:val="0"/>
          <w:lang w:val="fa-IR"/>
        </w:rPr>
        <w:t xml:space="preserve"> سوره قصص (٢٨) آیه ٥٠.</w:t>
      </w:r>
    </w:p>
  </w:footnote>
  <w:footnote w:id="26">
    <w:p>
      <w:pPr>
        <w:pStyle w:val="FootnoteText"/>
      </w:pPr>
      <w:r>
        <w:rPr>
          <w:rStyle w:val="FootnoteReference"/>
        </w:rPr>
        <w:footnoteRef/>
      </w:r>
      <w:r>
        <w:t xml:space="preserve"> </w:t>
      </w:r>
      <w:r>
        <w:rPr>
          <w:rtl w:val="0"/>
          <w:lang w:val="fa-IR"/>
        </w:rPr>
        <w:t xml:space="preserve"> سوره محمّد (٤٧) آیه ٨.</w:t>
      </w:r>
    </w:p>
  </w:footnote>
  <w:footnote w:id="27">
    <w:p>
      <w:pPr>
        <w:pStyle w:val="FootnoteText"/>
      </w:pPr>
      <w:r>
        <w:rPr>
          <w:rStyle w:val="FootnoteReference"/>
        </w:rPr>
        <w:footnoteRef/>
      </w:r>
      <w:r>
        <w:t xml:space="preserve"> </w:t>
      </w:r>
      <w:r>
        <w:rPr>
          <w:rtl w:val="0"/>
          <w:lang w:val="fa-IR"/>
        </w:rPr>
        <w:t xml:space="preserve"> سوره غافر (٤٠) آیه ٣٥.</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٢،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