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امام زمان علیه السّلام از منظر نقل و عقل</w:t>
      </w:r>
    </w:p>
    <w:p>
      <w:pPr>
        <w:pStyle w:val="VasatChinMatn"/>
      </w:pPr>
      <w:r>
        <w:rPr>
          <w:rtl w:val="0"/>
          <w:lang w:val="fa-IR"/>
        </w:rPr>
        <w:t xml:space="preserve">و تبیین جایگاه امامت و ولایت</w:t>
      </w:r>
    </w:p>
    <w:p>
      <w:pPr>
        <w:pStyle w:val="VasatChinMatn"/>
      </w:pPr>
      <w:r>
        <w:rPr>
          <w:rtl w:val="0"/>
          <w:lang w:val="fa-IR"/>
        </w:rPr>
        <w:t xml:space="preserve"> </w:t>
      </w:r>
    </w:p>
    <w:p>
      <w:pPr>
        <w:pStyle w:val="VasatChinMatn"/>
      </w:pPr>
      <w:r>
        <w:rPr>
          <w:rtl w:val="0"/>
          <w:lang w:val="fa-IR"/>
        </w:rPr>
        <w:t xml:space="preserve">درس خارج اصول فقه – جلسه 194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تواتر روایات وارده در باب مهدویّت</w:t>
      </w:r>
    </w:p>
    <w:p>
      <w:pPr>
        <w:pStyle w:val="SoalMatn"/>
      </w:pPr>
      <w:r>
        <w:rPr>
          <w:rtl w:val="0"/>
          <w:lang w:val="fa-IR"/>
        </w:rPr>
        <w:t xml:space="preserve">تلمیذ:</w:t>
      </w:r>
      <w:r>
        <w:rPr>
          <w:rtl w:val="0"/>
          <w:lang w:val="fa-IR"/>
        </w:rPr>
        <w:t xml:space="preserve"> [دربارۀ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r>
        <w:rPr>
          <w:rtl w:val="0"/>
          <w:lang w:val="fa-IR"/>
        </w:rPr>
        <w:t xml:space="preserve">استاد:</w:t>
      </w:r>
      <w:r>
        <w:rPr>
          <w:rtl w:val="0"/>
          <w:lang w:val="fa-IR"/>
        </w:rPr>
        <w:t xml:space="preserve"> درست است که مسئله از اعتقادیّات است، ولی اینگونه نیست که روایات کم باشد. </w:t>
      </w:r>
    </w:p>
    <w:p>
      <w:pPr>
        <w:pStyle w:val="Heading2"/>
      </w:pPr>
      <w:r>
        <w:rPr>
          <w:rtl w:val="0"/>
          <w:lang w:val="fa-IR"/>
        </w:rPr>
        <w:t xml:space="preserve">بیشتر بودن روایات مهدویت در منابع اهل سنت، در مقایسه با منابع شیعه!</w:t>
      </w:r>
    </w:p>
    <w:p>
      <w:pPr/>
      <w:r>
        <w:rPr>
          <w:rtl w:val="0"/>
          <w:lang w:val="fa-IR"/>
        </w:rPr>
        <w:t xml:space="preserve">عجیب است که ما می‌بینیم این روایات نزد اهل‌سنت حتی بیشتر از شیعه است!</w:t>
      </w:r>
      <w:r>
        <w:rPr>
          <w:rStyle w:val="FootnoteReference"/>
        </w:rPr>
        <w:footnoteReference w:id="2"/>
      </w:r>
      <w:r>
        <w:rPr>
          <w:rtl w:val="0"/>
          <w:lang w:val="fa-IR"/>
        </w:rPr>
        <w:t xml:space="preserve"> روایاتی حتی قبل از ولادت ایشان و در زمان امام رضا علیه السّلام دربارۀ آن 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w:t>
      </w:r>
      <w:r>
        <w:rPr>
          <w:rStyle w:val="FootnoteReference"/>
        </w:rPr>
        <w:footnoteReference w:id="3"/>
      </w:r>
      <w:r>
        <w:rPr>
          <w:rtl w:val="0"/>
          <w:lang w:val="fa-IR"/>
        </w:rPr>
        <w:t xml:space="preserve"> آخرین از آنها، نام او نام من و کنیۀ او کنیۀ من است.»</w:t>
      </w:r>
    </w:p>
    <w:p>
      <w:pPr/>
      <w:r>
        <w:rPr>
          <w:rtl w:val="0"/>
          <w:lang w:val="fa-IR"/>
        </w:rPr>
        <w:t xml:space="preserve">و روایات دیگر.</w:t>
      </w:r>
      <w:r>
        <w:rPr>
          <w:rStyle w:val="FootnoteReference"/>
        </w:rPr>
        <w:footnoteReference w:id="4"/>
      </w:r>
    </w:p>
    <w:p>
      <w:pPr/>
      <w:r>
        <w:rPr>
          <w:rtl w:val="0"/>
          <w:lang w:val="fa-IR"/>
        </w:rPr>
        <w:t xml:space="preserve">صدها روایت نزد اهل‌سنت و شیعه</w:t>
      </w:r>
      <w:r>
        <w:rPr>
          <w:rStyle w:val="FootnoteReference"/>
        </w:rPr>
        <w:footnoteReference w:id="5"/>
      </w:r>
      <w:r>
        <w:rPr>
          <w:rtl w:val="0"/>
          <w:lang w:val="fa-IR"/>
        </w:rPr>
        <w:t xml:space="preserve"> دربارۀ وجود حضرت مهدی و ولادت ایشان آمده است و این مسئله از متواترات است!</w:t>
      </w:r>
      <w:r>
        <w:rPr>
          <w:rStyle w:val="FootnoteReference"/>
        </w:rPr>
        <w:footnoteReference w:id="6"/>
      </w:r>
      <w:r>
        <w:rPr>
          <w:rtl w:val="0"/>
          <w:lang w:val="fa-IR"/>
        </w:rPr>
        <w:t xml:space="preserve"> چگونه می‌گویید ده روایت؟! آیا شما روایات را بررسی کرده‌اید؟!</w:t>
      </w:r>
    </w:p>
    <w:p>
      <w:pPr>
        <w:pStyle w:val="SoalMatn"/>
      </w:pPr>
      <w:r>
        <w:rPr>
          <w:rtl w:val="0"/>
          <w:lang w:val="fa-IR"/>
        </w:rPr>
        <w:t xml:space="preserve">تلمیذ:</w:t>
      </w:r>
      <w:r>
        <w:rPr>
          <w:rtl w:val="0"/>
          <w:lang w:val="fa-IR"/>
        </w:rPr>
        <w:t xml:space="preserve"> خیر، من فقط اشکال را نقل می‌کنم.</w:t>
      </w:r>
    </w:p>
    <w:p>
      <w:pPr/>
      <w:r>
        <w:rPr>
          <w:rtl w:val="0"/>
          <w:lang w:val="fa-IR"/>
        </w:rPr>
        <w:t xml:space="preserve">استاد:</w:t>
      </w:r>
      <w:r>
        <w:rPr>
          <w:rtl w:val="0"/>
          <w:lang w:val="fa-IR"/>
        </w:rPr>
        <w:t xml:space="preserve"> این‌طور نیست، صدها روایت در این‌باره از شیعه و اهل‌سنت وجود دارد. حتی فضل بن شاذان که در زمان امام رضا بوده، کتابی دربارۀ غیبت نوشته است به نام: </w:t>
      </w:r>
      <w:r>
        <w:rPr>
          <w:rtl w:val="0"/>
          <w:lang w:val="fa-IR"/>
        </w:rPr>
        <w:t xml:space="preserve">الغیبة</w:t>
      </w:r>
      <w:r>
        <w:rPr>
          <w:rtl w:val="0"/>
          <w:lang w:val="fa-IR"/>
        </w:rPr>
        <w:t xml:space="preserve">.</w:t>
      </w:r>
      <w:r>
        <w:rPr>
          <w:rStyle w:val="FootnoteReference"/>
        </w:rPr>
        <w:footnoteReference w:id="7"/>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8"/>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9"/>
      </w:r>
    </w:p>
    <w:p>
      <w:pPr/>
      <w:r>
        <w:rPr>
          <w:rtl w:val="0"/>
          <w:lang w:val="fa-IR"/>
        </w:rPr>
        <w:t xml:space="preserve">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10"/>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w:t>
      </w:r>
      <w:r>
        <w:rPr>
          <w:rtl w:val="0"/>
          <w:lang w:val="fa-IR"/>
        </w:rPr>
        <w:t xml:space="preserve"> 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استاد:</w:t>
      </w:r>
      <w:r>
        <w:rPr>
          <w:rtl w:val="0"/>
          <w:lang w:val="fa-IR"/>
        </w:rPr>
        <w:t xml:space="preserve"> 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11"/>
      </w:r>
    </w:p>
    <w:p>
      <w:pPr/>
      <w:r>
        <w:rPr>
          <w:rtl w:val="0"/>
          <w:lang w:val="fa-IR"/>
        </w:rPr>
        <w:t xml:space="preserve">به‌عنوان‌مثال در روایات داریم: </w:t>
      </w:r>
      <w:r>
        <w:rPr>
          <w:rStyle w:val="RevayatArabi"/>
          <w:rtl w:val="0"/>
          <w:lang w:val="fa-IR"/>
        </w:rPr>
        <w:t xml:space="preserve">«لا تَخلو الأرضُ مِن حُجّة؛</w:t>
      </w:r>
      <w:r>
        <w:rPr>
          <w:rStyle w:val="FootnoteReference"/>
        </w:rPr>
        <w:footnoteReference w:id="12"/>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13"/>
      </w:r>
      <w:r>
        <w:rPr>
          <w:rtl w:val="0"/>
          <w:lang w:val="fa-IR"/>
        </w:rPr>
        <w:t xml:space="preserve"> اگر حجّت نباشد هرآینه زمین اهلش را در کام خود فرو می‌بَرد!» و یا </w:t>
      </w:r>
      <w:r>
        <w:rPr>
          <w:rStyle w:val="RevayatArabi"/>
          <w:rtl w:val="0"/>
          <w:lang w:val="fa-IR"/>
        </w:rPr>
        <w:t xml:space="preserve">«مَثَلُ قائِمِنا...! »</w:t>
      </w:r>
      <w:r>
        <w:rPr>
          <w:rStyle w:val="FootnoteReference"/>
        </w:rPr>
        <w:footnoteReference w:id="14"/>
      </w:r>
    </w:p>
    <w:p>
      <w:pPr/>
      <w:r>
        <w:rPr>
          <w:rtl w:val="0"/>
          <w:lang w:val="fa-IR"/>
        </w:rPr>
        <w:t xml:space="preserve">اگر ما تمام روایاتی که دربارۀ وجود حجّت و ائمۀ دوازده‌گانه و امام مهدی آمده است به هم ضمیمه کنیم، از متواتر هم بیشتر خواهد بود.</w:t>
      </w:r>
    </w:p>
    <w:p>
      <w:pPr>
        <w:pStyle w:val="Heading1"/>
      </w:pPr>
      <w:r>
        <w:rPr>
          <w:rtl w:val="0"/>
          <w:lang w:val="fa-IR"/>
        </w:rPr>
        <w:t xml:space="preserve">ادلۀ عقلی و تاریخی بر وجود امام زمان علیه السّلام</w:t>
      </w:r>
    </w:p>
    <w:p>
      <w:pPr>
        <w:pStyle w:val="SoalMatn"/>
      </w:pPr>
      <w:r>
        <w:rPr>
          <w:rtl w:val="0"/>
          <w:lang w:val="fa-IR"/>
        </w:rPr>
        <w:t xml:space="preserve">تلمیذ:</w:t>
      </w:r>
      <w:r>
        <w:rPr>
          <w:rtl w:val="0"/>
          <w:lang w:val="fa-IR"/>
        </w:rPr>
        <w:t xml:space="preserve"> آیا ادلۀ عقلیّه هم داریم که آنها را تقویت کند؟ ادله‌ای که امتناع خلوّ زمین از حجّت را نتیجه دهد.</w:t>
      </w:r>
    </w:p>
    <w:p>
      <w:pPr/>
      <w:r>
        <w:rPr>
          <w:rtl w:val="0"/>
          <w:lang w:val="fa-IR"/>
        </w:rPr>
        <w:t xml:space="preserve">استاد:</w:t>
      </w:r>
      <w:r>
        <w:rPr>
          <w:rtl w:val="0"/>
          <w:lang w:val="fa-IR"/>
        </w:rPr>
        <w:t xml:space="preserve"> بله، حتی ادلۀ عقلیّه داریم.</w:t>
      </w:r>
    </w:p>
    <w:p>
      <w:pPr/>
      <w:r>
        <w:rPr>
          <w:rtl w:val="0"/>
          <w:lang w:val="fa-IR"/>
        </w:rPr>
        <w:t xml:space="preserve">آیا شما کتاب </w:t>
      </w:r>
      <w:r>
        <w:rPr>
          <w:rtl w:val="0"/>
          <w:lang w:val="fa-IR"/>
        </w:rPr>
        <w:t xml:space="preserve">الغیبة</w:t>
      </w:r>
      <w:r>
        <w:rPr>
          <w:rtl w:val="0"/>
          <w:lang w:val="fa-IR"/>
        </w:rPr>
        <w:t xml:space="preserve"> نعمانی و </w:t>
      </w:r>
      <w:r>
        <w:rPr>
          <w:rtl w:val="0"/>
          <w:lang w:val="fa-IR"/>
        </w:rPr>
        <w:t xml:space="preserve">الغیبة</w:t>
      </w:r>
      <w:r>
        <w:rPr>
          <w:rtl w:val="0"/>
          <w:lang w:val="fa-IR"/>
        </w:rPr>
        <w:t xml:space="preserve"> 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w:t>
      </w:r>
      <w:r>
        <w:rPr>
          <w:rtl w:val="0"/>
          <w:lang w:val="fa-IR"/>
        </w:rPr>
        <w:t xml:space="preserve"> 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استاد:</w:t>
      </w:r>
      <w:r>
        <w:rPr>
          <w:rtl w:val="0"/>
          <w:lang w:val="fa-IR"/>
        </w:rPr>
        <w:t xml:space="preserve"> بله، این مسئله تاریخی است.</w:t>
      </w:r>
    </w:p>
    <w:p>
      <w:pPr>
        <w:pStyle w:val="SoalMatn"/>
      </w:pPr>
      <w:r>
        <w:rPr>
          <w:rtl w:val="0"/>
          <w:lang w:val="fa-IR"/>
        </w:rPr>
        <w:t xml:space="preserve">تلمیذ:</w:t>
      </w:r>
      <w:r>
        <w:rPr>
          <w:rtl w:val="0"/>
          <w:lang w:val="fa-IR"/>
        </w:rPr>
        <w:t xml:space="preserve"> مراجع و صالحین بسیاری آن حضرت را دیده‌اند؛ یعنی جوّی نزد متشرّعه هست که آن حضرت وجود دارد.</w:t>
      </w:r>
    </w:p>
    <w:p>
      <w:pPr/>
      <w:r>
        <w:rPr>
          <w:rtl w:val="0"/>
          <w:lang w:val="fa-IR"/>
        </w:rPr>
        <w:t xml:space="preserve">استاد:</w:t>
      </w:r>
      <w:r>
        <w:rPr>
          <w:rtl w:val="0"/>
          <w:lang w:val="fa-IR"/>
        </w:rPr>
        <w:t xml:space="preserve"> 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15"/>
      </w:r>
      <w:r>
        <w:rPr>
          <w:rtl w:val="0"/>
          <w:lang w:val="fa-IR"/>
        </w:rPr>
        <w:t xml:space="preserve"> حتی بین اهل‌سنت هم این مسئله شایع بود و می‌گفتند: «شیعه به‌وسیلۀ این سفرای اربعه با امامشان در ارتباط هستند.»</w:t>
      </w:r>
      <w:r>
        <w:rPr>
          <w:rStyle w:val="FootnoteReference"/>
        </w:rPr>
        <w:footnoteReference w:id="16"/>
      </w:r>
      <w:r>
        <w:rPr>
          <w:rtl w:val="0"/>
          <w:lang w:val="fa-IR"/>
        </w:rPr>
        <w:t xml:space="preserve"> لذا این مسئله از همان زمان بین شیعه و اهل‌سنت متّفقٌ‌علیه بوده است.</w:t>
      </w:r>
    </w:p>
    <w:p>
      <w:pPr/>
      <w:r>
        <w:rPr>
          <w:rtl w:val="0"/>
          <w:lang w:val="fa-IR"/>
        </w:rPr>
        <w:t xml:space="preserve">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17"/>
      </w:r>
      <w:r>
        <w:rPr>
          <w:rtl w:val="0"/>
          <w:lang w:val="fa-IR"/>
        </w:rPr>
        <w:t xml:space="preserve"> افرادی هم بودند از قمّیّین و غیر آنها که به سامرّا رفتند و حضرت را در پنج‌سالگی دیدند.</w:t>
      </w:r>
      <w:r>
        <w:rPr>
          <w:rStyle w:val="FootnoteReference"/>
        </w:rPr>
        <w:footnoteReference w:id="18"/>
      </w:r>
    </w:p>
    <w:p>
      <w:pPr/>
      <w:r>
        <w:rPr>
          <w:rtl w:val="0"/>
          <w:lang w:val="fa-IR"/>
        </w:rPr>
        <w:t xml:space="preserve">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صلاً مطلب غریبی نیست.</w:t>
      </w:r>
      <w:r>
        <w:rPr>
          <w:rStyle w:val="FootnoteReference"/>
        </w:rPr>
        <w:footnoteReference w:id="19"/>
      </w:r>
    </w:p>
    <w:p>
      <w:pPr>
        <w:pStyle w:val="SoalMatn"/>
      </w:pPr>
      <w:r>
        <w:rPr>
          <w:rtl w:val="0"/>
          <w:lang w:val="fa-IR"/>
        </w:rPr>
        <w:t xml:space="preserve">تلمیذ:</w:t>
      </w:r>
      <w:r>
        <w:rPr>
          <w:rtl w:val="0"/>
          <w:lang w:val="fa-IR"/>
        </w:rPr>
        <w:t xml:space="preserve"> به‌هر حال چه دلایلی برای اقناع اهل‌سنت هست؟</w:t>
      </w:r>
    </w:p>
    <w:p>
      <w:pPr/>
      <w:r>
        <w:rPr>
          <w:rtl w:val="0"/>
          <w:lang w:val="fa-IR"/>
        </w:rPr>
        <w:t xml:space="preserve">استاد:</w:t>
      </w:r>
      <w:r>
        <w:rPr>
          <w:rtl w:val="0"/>
          <w:lang w:val="fa-IR"/>
        </w:rPr>
        <w:t xml:space="preserve"> به آنها می‌گوییم که تاریخ موجود است! مثل زمان معتزّ.</w:t>
      </w:r>
    </w:p>
    <w:p>
      <w:pPr>
        <w:pStyle w:val="SoalMatn"/>
      </w:pPr>
      <w:r>
        <w:rPr>
          <w:rtl w:val="0"/>
          <w:lang w:val="fa-IR"/>
        </w:rPr>
        <w:t xml:space="preserve">تلمیذ:</w:t>
      </w:r>
      <w:r>
        <w:rPr>
          <w:rtl w:val="0"/>
          <w:lang w:val="fa-IR"/>
        </w:rPr>
        <w:t xml:space="preserve"> خب می‌گویند که اینها از تألیفات علمای شیعه است!</w:t>
      </w:r>
    </w:p>
    <w:p>
      <w:pPr/>
      <w:r>
        <w:rPr>
          <w:rtl w:val="0"/>
          <w:lang w:val="fa-IR"/>
        </w:rPr>
        <w:t xml:space="preserve">استاد:</w:t>
      </w:r>
      <w:r>
        <w:rPr>
          <w:rtl w:val="0"/>
          <w:lang w:val="fa-IR"/>
        </w:rPr>
        <w:t xml:space="preserve"> نه، از تألیفات علمای ما نیست؛ بلکه تاریخی است که نزد خود آنها موثّق است.</w:t>
      </w:r>
    </w:p>
    <w:p>
      <w:pPr>
        <w:pStyle w:val="SoalMatn"/>
      </w:pPr>
      <w:r>
        <w:rPr>
          <w:rtl w:val="0"/>
          <w:lang w:val="fa-IR"/>
        </w:rPr>
        <w:t xml:space="preserve">تلمیذ:</w:t>
      </w:r>
      <w:r>
        <w:rPr>
          <w:rtl w:val="0"/>
          <w:lang w:val="fa-IR"/>
        </w:rPr>
        <w:t xml:space="preserve"> 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20"/>
      </w:r>
      <w:r>
        <w:rPr>
          <w:rtl w:val="0"/>
          <w:lang w:val="fa-IR"/>
        </w:rPr>
        <w:t xml:space="preserve"> یک کتاب هم مرحوم آیةالله سید صدرالدّین صدر نوشته است که از کتب اهل‌سنت روایاتی جمع‌آوری کرده و در دسترس هست.</w:t>
      </w:r>
      <w:r>
        <w:rPr>
          <w:rStyle w:val="FootnoteReference"/>
        </w:rPr>
        <w:footnoteReference w:id="21"/>
      </w:r>
    </w:p>
    <w:p>
      <w:pPr/>
      <w:r>
        <w:rPr>
          <w:rtl w:val="0"/>
          <w:lang w:val="fa-IR"/>
        </w:rPr>
        <w:t xml:space="preserve">استاد:</w:t>
      </w:r>
      <w:r>
        <w:rPr>
          <w:rtl w:val="0"/>
          <w:lang w:val="fa-IR"/>
        </w:rPr>
        <w:t xml:space="preserve"> بله. همان‌طور که عرض کردم زیاد است و در قضیۀ مربوط به امام عصر علیه السّلام، روایات از اهل‌سنت بیشتر از شیعه است! حتی روایاتی که مربوط به ولایت است. به‌عنوان‌مثال روایتی اهل‌سنت از پیغمبر اکرم صلوات الله علیه نقل می‌کنند که حضرت، جابر بن عبدالله انصاری را مخاطب قرار می‌دهند و نام دوازه امام را به او می‌فرمایند:</w:t>
      </w:r>
    </w:p>
    <w:p>
      <w:pPr>
        <w:pStyle w:val="NaghlegholMatn"/>
      </w:pPr>
      <w:r>
        <w:rPr>
          <w:rStyle w:val="RevayatArabi"/>
          <w:rtl w:val="0"/>
          <w:lang w:val="fa-IR"/>
        </w:rPr>
        <w:t xml:space="preserve">أوّلُهُم علیٌّ، ثُمّ الحَسنُ، ثُمّ الحسینُ... ثمّ القائِمُ اسمُهُ اسْمی و کُنیتُهُ کُنیَتی؛</w:t>
      </w:r>
      <w:r>
        <w:rPr>
          <w:rtl w:val="0"/>
          <w:lang w:val="fa-IR"/>
        </w:rPr>
        <w:t xml:space="preserve"> «اوّلی آنها علی، سپس حسن و حسین... و آخری آنها نامش نامِ من و کُنیۀ او کنیۀ من است.»</w:t>
      </w:r>
    </w:p>
    <w:p>
      <w:pPr/>
      <w:r>
        <w:rPr>
          <w:rtl w:val="0"/>
          <w:lang w:val="fa-IR"/>
        </w:rPr>
        <w:t xml:space="preserve">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22"/>
      </w:r>
    </w:p>
    <w:p>
      <w:pPr>
        <w:pStyle w:val="Heading1"/>
      </w:pPr>
      <w:r>
        <w:rPr>
          <w:rtl w:val="0"/>
          <w:lang w:val="fa-IR"/>
        </w:rPr>
        <w:t xml:space="preserve">تبیین جایگاه امام با توضیح حقیقتِ ولایت</w:t>
      </w:r>
    </w:p>
    <w:p>
      <w:pPr>
        <w:pStyle w:val="SoalMatn"/>
      </w:pPr>
      <w:r>
        <w:rPr>
          <w:rtl w:val="0"/>
          <w:lang w:val="fa-IR"/>
        </w:rPr>
        <w:t xml:space="preserve">تلمیذ:</w:t>
      </w:r>
      <w:r>
        <w:rPr>
          <w:rtl w:val="0"/>
          <w:lang w:val="fa-IR"/>
        </w:rPr>
        <w:t xml:space="preserve"> آیا مقام امامت ربطی به کمال دارد یا ندارد؟ یعنی وقتی امام زمان علیه السّلام، امام شد به کمال رسیده بود؟</w:t>
      </w:r>
    </w:p>
    <w:p>
      <w:pPr/>
      <w:r>
        <w:rPr>
          <w:rtl w:val="0"/>
          <w:lang w:val="fa-IR"/>
        </w:rPr>
        <w:t xml:space="preserve">استاد:</w:t>
      </w:r>
      <w:r>
        <w:rPr>
          <w:rtl w:val="0"/>
          <w:lang w:val="fa-IR"/>
        </w:rPr>
        <w:t xml:space="preserve"> 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23"/>
      </w:r>
      <w:r>
        <w:rPr>
          <w:rtl w:val="0"/>
          <w:lang w:val="fa-IR"/>
        </w:rPr>
        <w:t xml:space="preserve"> خارج می‌شود. این سیّاره، مجموعِ مرکّبی است از حدید و زجاج و پلاستیک و لاستیک و سیم و همۀ آنچه که 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24"/>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w:t>
      </w:r>
      <w:r>
        <w:rPr>
          <w:rtl w:val="0"/>
          <w:lang w:val="fa-IR"/>
        </w:rPr>
        <w:t xml:space="preserve"> [آیا ممکن است] به‌واسطۀ آن سرعت، سیر عرضیِ لازم را نداشته و فقط یک سیر صعودی داشته باشد؟</w:t>
      </w:r>
    </w:p>
    <w:p>
      <w:pPr/>
      <w:r>
        <w:rPr>
          <w:rtl w:val="0"/>
          <w:lang w:val="fa-IR"/>
        </w:rPr>
        <w:t xml:space="preserve">استاد:</w:t>
      </w:r>
      <w:r>
        <w:rPr>
          <w:rtl w:val="0"/>
          <w:lang w:val="fa-IR"/>
        </w:rPr>
        <w:t xml:space="preserve"> آخر شما این سیر صعودی را به چه تشبیه می‌کنید؟ فقط یک مسئله نیست؛ در عین‌اینکه دارد سیر صعودی می‌کند، سیر عرضی هم دارد! به‌خاطر اینکه اگر همۀ عوالم را حیازت نکند، نمی‌تواند به همۀ عوالم احاطه داشته باشد.</w:t>
      </w:r>
    </w:p>
    <w:p>
      <w:pPr>
        <w:pStyle w:val="SoalMatn"/>
      </w:pPr>
      <w:r>
        <w:rPr>
          <w:rtl w:val="0"/>
          <w:lang w:val="fa-IR"/>
        </w:rPr>
        <w:t xml:space="preserve">تلمیذ:</w:t>
      </w:r>
      <w:r>
        <w:rPr>
          <w:rtl w:val="0"/>
          <w:lang w:val="fa-IR"/>
        </w:rPr>
        <w:t xml:space="preserve"> احاطۀ اجمالی هم نمی‌تواند داشته باشد؟</w:t>
      </w:r>
    </w:p>
    <w:p>
      <w:pPr/>
      <w:r>
        <w:rPr>
          <w:rtl w:val="0"/>
          <w:lang w:val="fa-IR"/>
        </w:rPr>
        <w:t xml:space="preserve">استاد:</w:t>
      </w:r>
      <w:r>
        <w:rPr>
          <w:rtl w:val="0"/>
          <w:lang w:val="fa-IR"/>
        </w:rPr>
        <w:t xml:space="preserve"> 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w:t>
      </w:r>
      <w:r>
        <w:rPr>
          <w:rtl w:val="0"/>
          <w:lang w:val="fa-IR"/>
        </w:rPr>
        <w:t xml:space="preserve"> به‌هرحال این سیر تدریجی را در آن پنج سال طی می‌کند یا اینکه نه، می‌گوییم یک موهبت و افاضه‌ای است و بعد [طی می‌کند]؟</w:t>
      </w:r>
    </w:p>
    <w:p>
      <w:pPr/>
      <w:r>
        <w:rPr>
          <w:rtl w:val="0"/>
          <w:lang w:val="fa-IR"/>
        </w:rPr>
        <w:t xml:space="preserve">استاد:</w:t>
      </w:r>
      <w:r>
        <w:rPr>
          <w:rtl w:val="0"/>
          <w:lang w:val="fa-IR"/>
        </w:rPr>
        <w:t xml:space="preserve"> 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w:t>
      </w:r>
      <w:r>
        <w:rPr>
          <w:rtl w:val="0"/>
          <w:lang w:val="fa-IR"/>
        </w:rPr>
        <w:t xml:space="preserve"> آیا در سلوک هم همین‌طور است؟ یعنی می‌شود کسی من‌باب‌مثال [در] یک زمان [به کمال برسد]؟</w:t>
      </w:r>
    </w:p>
    <w:p>
      <w:pPr/>
      <w:r>
        <w:rPr>
          <w:rtl w:val="0"/>
          <w:lang w:val="fa-IR"/>
        </w:rPr>
        <w:t xml:space="preserve">استاد:</w:t>
      </w:r>
      <w:r>
        <w:rPr>
          <w:rtl w:val="0"/>
          <w:lang w:val="fa-IR"/>
        </w:rPr>
        <w:t xml:space="preserve"> بله.</w:t>
      </w:r>
    </w:p>
    <w:p>
      <w:pPr/>
      <w:r>
        <w:rPr>
          <w:rtl w:val="0"/>
          <w:lang w:val="fa-IR"/>
        </w:rPr>
        <w:t xml:space="preserve">امیرالمؤمنین علیه السّلام در حدود سی و دو سه سالگی [یا کمی بیشتر] بودند که به امامت رسیدند.</w:t>
      </w:r>
      <w:r>
        <w:rPr>
          <w:rStyle w:val="FootnoteReference"/>
        </w:rPr>
        <w:footnoteReference w:id="25"/>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26"/>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قدر است، در یکی بیشتر است! ولی همه‌اش به‌دست اوست.</w:t>
      </w:r>
    </w:p>
    <w:p>
      <w:pPr>
        <w:pStyle w:val="Heading1"/>
      </w:pPr>
      <w:r>
        <w:rPr>
          <w:rtl w:val="0"/>
          <w:lang w:val="fa-IR"/>
        </w:rPr>
        <w:t xml:space="preserve">ظهور امام زمان، حلقۀ واسطۀ بین دنیا و قیامت</w:t>
      </w:r>
    </w:p>
    <w:p>
      <w:pPr>
        <w:pStyle w:val="SoalMatn"/>
      </w:pPr>
      <w:r>
        <w:rPr>
          <w:rtl w:val="0"/>
          <w:lang w:val="fa-IR"/>
        </w:rPr>
        <w:t xml:space="preserve">تلمیذ:</w:t>
      </w:r>
      <w:r>
        <w:rPr>
          <w:rtl w:val="0"/>
          <w:lang w:val="fa-IR"/>
        </w:rPr>
        <w:t xml:space="preserve"> نسبت به زمان ظهور حضرت صاحب‌الأمر اطلاق قیامت شده است؛</w:t>
      </w:r>
      <w:r>
        <w:rPr>
          <w:rStyle w:val="FootnoteReference"/>
        </w:rPr>
        <w:footnoteReference w:id="27"/>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28"/>
      </w:r>
      <w:r>
        <w:rPr>
          <w:rtl w:val="0"/>
          <w:lang w:val="fa-IR"/>
        </w:rPr>
        <w:t xml:space="preserve"> اینها به چه نسبت اطلاق می‌شود؟</w:t>
      </w:r>
    </w:p>
    <w:p>
      <w:pPr/>
      <w:r>
        <w:rPr>
          <w:rtl w:val="0"/>
          <w:lang w:val="fa-IR"/>
        </w:rPr>
        <w:t xml:space="preserve">استاد:</w:t>
      </w:r>
      <w:r>
        <w:rPr>
          <w:rtl w:val="0"/>
          <w:lang w:val="fa-IR"/>
        </w:rPr>
        <w:t xml:space="preserve"> 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 این مرتبه از پروندۀ این عالم از خلقت آدم، بسته می‌شود.</w:t>
      </w:r>
    </w:p>
    <w:p>
      <w:pPr/>
      <w:r>
        <w:rPr>
          <w:rtl w:val="0"/>
          <w:lang w:val="fa-IR"/>
        </w:rPr>
        <w:t xml:space="preserve">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و [قسمت سوم هم] قیامت.</w:t>
      </w:r>
      <w:r>
        <w:rPr>
          <w:rStyle w:val="FootnoteReference"/>
        </w:rPr>
        <w:footnoteReference w:id="29"/>
      </w:r>
    </w:p>
    <w:p>
      <w:pPr/>
      <w:r>
        <w:rPr>
          <w:rtl w:val="0"/>
          <w:lang w:val="fa-IR"/>
        </w:rPr>
        <w:t xml:space="preserve">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0"/>
      </w:r>
    </w:p>
    <w:p>
      <w:pPr>
        <w:pStyle w:val="Heading1"/>
      </w:pPr>
      <w:r>
        <w:rPr>
          <w:rtl w:val="0"/>
          <w:lang w:val="fa-IR"/>
        </w:rPr>
        <w:t xml:space="preserve">تحول معرفتی مردم در زمان ظهور</w:t>
      </w:r>
    </w:p>
    <w:p>
      <w:pPr>
        <w:pStyle w:val="SoalMatn"/>
      </w:pPr>
      <w:r>
        <w:rPr>
          <w:rtl w:val="0"/>
          <w:lang w:val="fa-IR"/>
        </w:rPr>
        <w:t xml:space="preserve">تلمیذ:</w:t>
      </w:r>
      <w:r>
        <w:rPr>
          <w:rtl w:val="0"/>
          <w:lang w:val="fa-IR"/>
        </w:rPr>
        <w:t xml:space="preserve"> یعنی واقعاً زمان حضرت مردم ولو عوام هم متحول می‌شوند؟ نمی‌توانیم بگوییم عوام آنها مثل عوام الآن هستند؟</w:t>
      </w:r>
    </w:p>
    <w:p>
      <w:pPr/>
      <w:r>
        <w:rPr>
          <w:rtl w:val="0"/>
          <w:lang w:val="fa-IR"/>
        </w:rPr>
        <w:t xml:space="preserve">استاد:</w:t>
      </w:r>
      <w:r>
        <w:rPr>
          <w:rtl w:val="0"/>
          <w:lang w:val="fa-IR"/>
        </w:rPr>
        <w:t xml:space="preserve"> 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1"/>
      </w:r>
    </w:p>
    <w:p>
      <w:pPr>
        <w:pStyle w:val="SoalMatn"/>
      </w:pPr>
      <w:r>
        <w:rPr>
          <w:rtl w:val="0"/>
          <w:lang w:val="fa-IR"/>
        </w:rPr>
        <w:t xml:space="preserve">تلمیذ:</w:t>
      </w:r>
      <w:r>
        <w:rPr>
          <w:rtl w:val="0"/>
          <w:lang w:val="fa-IR"/>
        </w:rPr>
        <w:t xml:space="preserve"> 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2"/>
      </w:r>
      <w:r>
        <w:rPr>
          <w:rtl w:val="0"/>
          <w:lang w:val="fa-IR"/>
        </w:rPr>
        <w:t xml:space="preserve"> پس این أجزل بودن و أعظم بودن به چه مناسبت در روایت آمده است؟</w:t>
      </w:r>
    </w:p>
    <w:p>
      <w:pPr/>
      <w:r>
        <w:rPr>
          <w:rtl w:val="0"/>
          <w:lang w:val="fa-IR"/>
        </w:rPr>
        <w:t xml:space="preserve">استاد:</w:t>
      </w:r>
      <w:r>
        <w:rPr>
          <w:rtl w:val="0"/>
          <w:lang w:val="fa-IR"/>
        </w:rPr>
        <w:t xml:space="preserve"> 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3"/>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 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w:t>
      </w:r>
      <w:r>
        <w:rPr>
          <w:rtl w:val="0"/>
          <w:lang w:val="fa-IR"/>
        </w:rPr>
        <w:t xml:space="preserve"> برای سُلاّک تفاوتی نمی‌کند؟</w:t>
      </w:r>
    </w:p>
    <w:p>
      <w:pPr/>
      <w:r>
        <w:rPr>
          <w:rtl w:val="0"/>
          <w:lang w:val="fa-IR"/>
        </w:rPr>
        <w:t xml:space="preserve">استاد:</w:t>
      </w:r>
      <w:r>
        <w:rPr>
          <w:rtl w:val="0"/>
          <w:lang w:val="fa-IR"/>
        </w:rPr>
        <w:t xml:space="preserve"> نه، سالک راه خودش را انجام می‌دهد.</w:t>
      </w:r>
    </w:p>
    <w:p>
      <w:pPr>
        <w:pStyle w:val="Heading1"/>
      </w:pPr>
      <w:r>
        <w:rPr>
          <w:rtl w:val="0"/>
          <w:lang w:val="fa-IR"/>
        </w:rPr>
        <w:t xml:space="preserve">آیا چند امام در یک زمان می‌توانند باشند؟</w:t>
      </w:r>
    </w:p>
    <w:p>
      <w:pPr>
        <w:pStyle w:val="SoalMatn"/>
      </w:pPr>
      <w:r>
        <w:rPr>
          <w:rtl w:val="0"/>
          <w:lang w:val="fa-IR"/>
        </w:rPr>
        <w:t xml:space="preserve">تلمیذ:</w:t>
      </w:r>
      <w:r>
        <w:rPr>
          <w:rtl w:val="0"/>
          <w:lang w:val="fa-IR"/>
        </w:rPr>
        <w:t xml:space="preserve"> 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استاد:</w:t>
      </w:r>
      <w:r>
        <w:rPr>
          <w:rtl w:val="0"/>
          <w:lang w:val="fa-IR"/>
        </w:rPr>
        <w:t xml:space="preserve"> بله، نبودند.</w:t>
      </w:r>
    </w:p>
    <w:p>
      <w:pPr>
        <w:pStyle w:val="SoalMatn"/>
      </w:pPr>
      <w:r>
        <w:rPr>
          <w:rtl w:val="0"/>
          <w:lang w:val="fa-IR"/>
        </w:rPr>
        <w:t xml:space="preserve">تلمیذ:</w:t>
      </w:r>
      <w:r>
        <w:rPr>
          <w:rtl w:val="0"/>
          <w:lang w:val="fa-IR"/>
        </w:rPr>
        <w:t xml:space="preserve"> حالا در این رابطه، فرقی هم از جنبۀ حقیقت بین امامت و ولایت نیست؟ امامت ظاهر ولایت و ولایت باطن امامت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بنابراین در زمانی که وجود مبارک حضرت صاحب‌الأمر هست، ولایت هم که هست؛ یعنی شخص ولیّ هم حضور دارد و دارد کار می‌کند. چطور می‌شود در یک زمان دو تا ولیّ می‌تواند کار کند، اما در یک زمان دو تا امام نمی‌توانند؟</w:t>
      </w:r>
    </w:p>
    <w:p>
      <w:pPr>
        <w:pStyle w:val="Heading2"/>
      </w:pPr>
      <w:r>
        <w:rPr>
          <w:rtl w:val="0"/>
          <w:lang w:val="fa-IR"/>
        </w:rPr>
        <w:t xml:space="preserve">ولایت طولیِ اولیای الهی، تحتِ ولایت امام علیه السلام</w:t>
      </w:r>
    </w:p>
    <w:p>
      <w:pPr/>
      <w:r>
        <w:rPr>
          <w:rtl w:val="0"/>
          <w:lang w:val="fa-IR"/>
        </w:rPr>
        <w:t xml:space="preserve">استاد:</w:t>
      </w:r>
      <w:r>
        <w:rPr>
          <w:rtl w:val="0"/>
          <w:lang w:val="fa-IR"/>
        </w:rPr>
        <w:t xml:space="preserve"> ولیّ در تحتِ ولایت امام است و ولایتش ولایت طولی است، نه ولایت عرضی؛ اما [ولایت] امام عرضی است! لذا دو چیز در عرض هم نمی‌تواند قرار بگیرد و دو مشرب ندارد؛ [اما در این‌صورت] دو مشرب و دو علت می‌شود و توارد علّتین بر معلول واحد هم که نمی‌شود.</w:t>
      </w:r>
      <w:r>
        <w:rPr>
          <w:rStyle w:val="FootnoteReference"/>
        </w:rPr>
        <w:footnoteReference w:id="34"/>
      </w:r>
      <w:r>
        <w:rPr>
          <w:rtl w:val="0"/>
          <w:lang w:val="fa-IR"/>
        </w:rPr>
        <w:t xml:space="preserve"> بنابراین خود شخص ولیّ متصل به امام است.</w:t>
      </w:r>
      <w:r>
        <w:rPr>
          <w:rStyle w:val="FootnoteReference"/>
        </w:rPr>
        <w:footnoteReference w:id="35"/>
      </w:r>
    </w:p>
    <w:p>
      <w:pPr>
        <w:pStyle w:val="SoalMatn"/>
      </w:pPr>
      <w:r>
        <w:rPr>
          <w:rtl w:val="0"/>
          <w:lang w:val="fa-IR"/>
        </w:rPr>
        <w:t xml:space="preserve">تلمیذ:</w:t>
      </w:r>
      <w:r>
        <w:rPr>
          <w:rtl w:val="0"/>
          <w:lang w:val="fa-IR"/>
        </w:rPr>
        <w:t xml:space="preserve"> در استفاده از منبع ولایتِ امام شالودۀ ولیّ هیچ تأثیر ندارد؟</w:t>
      </w:r>
    </w:p>
    <w:p>
      <w:pPr/>
      <w:r>
        <w:rPr>
          <w:rtl w:val="0"/>
          <w:lang w:val="fa-IR"/>
        </w:rPr>
        <w:t xml:space="preserve">استاد:</w:t>
      </w:r>
      <w:r>
        <w:rPr>
          <w:rtl w:val="0"/>
          <w:lang w:val="fa-IR"/>
        </w:rPr>
        <w:t xml:space="preserve"> 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6"/>
      </w:r>
    </w:p>
    <w:p>
      <w:pPr>
        <w:pStyle w:val="SoalMatn"/>
      </w:pPr>
      <w:r>
        <w:rPr>
          <w:rtl w:val="0"/>
          <w:lang w:val="fa-IR"/>
        </w:rPr>
        <w:t xml:space="preserve">تلمیذ:</w:t>
      </w:r>
      <w:r>
        <w:rPr>
          <w:rtl w:val="0"/>
          <w:lang w:val="fa-IR"/>
        </w:rPr>
        <w:t xml:space="preserve"> 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استاد:</w:t>
      </w:r>
      <w:r>
        <w:rPr>
          <w:rtl w:val="0"/>
          <w:lang w:val="fa-IR"/>
        </w:rPr>
        <w:t xml:space="preserve"> 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w:t>
      </w:r>
      <w:r>
        <w:rPr>
          <w:rtl w:val="0"/>
          <w:lang w:val="fa-IR"/>
        </w:rPr>
        <w:t xml:space="preserve"> ما نمی‌خواهیم بگوییم که دو اسم علیم داریم!</w:t>
      </w:r>
    </w:p>
    <w:p>
      <w:pPr/>
      <w:r>
        <w:rPr>
          <w:rtl w:val="0"/>
          <w:lang w:val="fa-IR"/>
        </w:rPr>
        <w:t xml:space="preserve">استاد:</w:t>
      </w:r>
      <w:r>
        <w:rPr>
          <w:rtl w:val="0"/>
          <w:lang w:val="fa-IR"/>
        </w:rPr>
        <w:t xml:space="preserve"> 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استاد:</w:t>
      </w:r>
      <w:r>
        <w:rPr>
          <w:rtl w:val="0"/>
          <w:lang w:val="fa-IR"/>
        </w:rPr>
        <w:t xml:space="preserve"> احسنت! خب ظهور ولایت چیست؟</w:t>
      </w:r>
    </w:p>
    <w:p>
      <w:pPr>
        <w:pStyle w:val="SoalMatn"/>
      </w:pPr>
      <w:r>
        <w:rPr>
          <w:rtl w:val="0"/>
          <w:lang w:val="fa-IR"/>
        </w:rPr>
        <w:t xml:space="preserve">تلمیذ:</w:t>
      </w:r>
      <w:r>
        <w:rPr>
          <w:rtl w:val="0"/>
          <w:lang w:val="fa-IR"/>
        </w:rPr>
        <w:t xml:space="preserve"> ظهور ولایت در مشاکل و مظاهر خودش است.</w:t>
      </w:r>
    </w:p>
    <w:p>
      <w:pPr/>
      <w:r>
        <w:rPr>
          <w:rtl w:val="0"/>
          <w:lang w:val="fa-IR"/>
        </w:rPr>
        <w:t xml:space="preserve">استاد:</w:t>
      </w:r>
      <w:r>
        <w:rPr>
          <w:rtl w:val="0"/>
          <w:lang w:val="fa-IR"/>
        </w:rPr>
        <w:t xml:space="preserve"> همین، پس یک ولایت است.</w:t>
      </w:r>
    </w:p>
    <w:p>
      <w:pPr>
        <w:pStyle w:val="SoalMatn"/>
      </w:pPr>
      <w:r>
        <w:rPr>
          <w:rtl w:val="0"/>
          <w:lang w:val="fa-IR"/>
        </w:rPr>
        <w:t xml:space="preserve">تلمیذ:</w:t>
      </w:r>
      <w:r>
        <w:rPr>
          <w:rtl w:val="0"/>
          <w:lang w:val="fa-IR"/>
        </w:rPr>
        <w:t xml:space="preserve"> [ولایت] ولیّ هم پس یک ولایت است! ما می‌گوییم هیچ تفاوت و تمایزی بین ولایت ولیّ با ولایت امام نیست.</w:t>
      </w:r>
    </w:p>
    <w:p>
      <w:pPr/>
      <w:r>
        <w:rPr>
          <w:rtl w:val="0"/>
          <w:lang w:val="fa-IR"/>
        </w:rPr>
        <w:t xml:space="preserve">استاد:</w:t>
      </w:r>
      <w:r>
        <w:rPr>
          <w:rtl w:val="0"/>
          <w:lang w:val="fa-IR"/>
        </w:rPr>
        <w:t xml:space="preserve"> نیست، ولی در تحتِ آن ولایت است! غیر از این است که در عرض او باشد.</w:t>
      </w:r>
    </w:p>
    <w:p>
      <w:pPr>
        <w:pStyle w:val="SoalMatn"/>
      </w:pPr>
      <w:r>
        <w:rPr>
          <w:rtl w:val="0"/>
          <w:lang w:val="fa-IR"/>
        </w:rPr>
        <w:t xml:space="preserve">تلمیذ:</w:t>
      </w:r>
      <w:r>
        <w:rPr>
          <w:rtl w:val="0"/>
          <w:lang w:val="fa-IR"/>
        </w:rPr>
        <w:t xml:space="preserve"> 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استاد:</w:t>
      </w:r>
      <w:r>
        <w:rPr>
          <w:rtl w:val="0"/>
          <w:lang w:val="fa-IR"/>
        </w:rPr>
        <w:t xml:space="preserve"> 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استاد:</w:t>
      </w:r>
      <w:r>
        <w:rPr>
          <w:rtl w:val="0"/>
          <w:lang w:val="fa-IR"/>
        </w:rPr>
        <w:t xml:space="preserve"> 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1"/>
      </w:pPr>
      <w:r>
        <w:rPr>
          <w:rtl w:val="0"/>
          <w:lang w:val="fa-IR"/>
        </w:rPr>
        <w:t xml:space="preserve">تفاوت سعۀ وجودی پیامبر، ائمه و اولیا</w:t>
      </w:r>
    </w:p>
    <w:p>
      <w:pPr>
        <w:pStyle w:val="SoalMatn"/>
      </w:pPr>
      <w:r>
        <w:rPr>
          <w:rtl w:val="0"/>
          <w:lang w:val="fa-IR"/>
        </w:rPr>
        <w:t xml:space="preserve">تلمیذ:</w:t>
      </w:r>
      <w:r>
        <w:rPr>
          <w:rtl w:val="0"/>
          <w:lang w:val="fa-IR"/>
        </w:rPr>
        <w:t xml:space="preserve"> پس فقط همین اختلاف در نفس است و در حقیقت هیچ اختلافی نیست؟</w:t>
      </w:r>
    </w:p>
    <w:p>
      <w:pPr/>
      <w:r>
        <w:rPr>
          <w:rtl w:val="0"/>
          <w:lang w:val="fa-IR"/>
        </w:rPr>
        <w:t xml:space="preserve">استاد:</w:t>
      </w:r>
      <w:r>
        <w:rPr>
          <w:rtl w:val="0"/>
          <w:lang w:val="fa-IR"/>
        </w:rPr>
        <w:t xml:space="preserve"> نه‌خیر؛ البته همین اختلاف کم نیست! این اختلاف است که همۀ عالم... .</w:t>
      </w:r>
    </w:p>
    <w:p>
      <w:pPr/>
      <w:r>
        <w:rPr>
          <w:rtl w:val="0"/>
          <w:lang w:val="fa-IR"/>
        </w:rPr>
        <w:t xml:space="preserve">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2"/>
      </w:pPr>
      <w:r>
        <w:rPr>
          <w:rtl w:val="0"/>
          <w:lang w:val="fa-IR"/>
        </w:rPr>
        <w:t xml:space="preserve">اشراب ائمه از نفس رسول خدا علیهم السّلام</w:t>
      </w:r>
    </w:p>
    <w:p>
      <w:pPr>
        <w:pStyle w:val="SoalMatn"/>
      </w:pPr>
      <w:r>
        <w:rPr>
          <w:rtl w:val="0"/>
          <w:lang w:val="fa-IR"/>
        </w:rPr>
        <w:t xml:space="preserve">تلمیذ:</w:t>
      </w:r>
      <w:r>
        <w:rPr>
          <w:rtl w:val="0"/>
          <w:lang w:val="fa-IR"/>
        </w:rPr>
        <w:t xml:space="preserve"> یعنی می‌شود جایی فرض کرد که امام چیزی را دارا باشد که ولیّ نداشته باشد؟</w:t>
      </w:r>
    </w:p>
    <w:p>
      <w:pPr/>
      <w:r>
        <w:rPr>
          <w:rtl w:val="0"/>
          <w:lang w:val="fa-IR"/>
        </w:rPr>
        <w:t xml:space="preserve">استاد:</w:t>
      </w:r>
      <w:r>
        <w:rPr>
          <w:rtl w:val="0"/>
          <w:lang w:val="fa-IR"/>
        </w:rPr>
        <w:t xml:space="preserve"> 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8"/>
      </w:r>
      <w:r>
        <w:rPr>
          <w:rtl w:val="0"/>
          <w:lang w:val="fa-IR"/>
        </w:rPr>
        <w:t xml:space="preserve"> برای چیست؟</w:t>
      </w:r>
    </w:p>
    <w:p>
      <w:pPr>
        <w:pStyle w:val="SoalMatn"/>
      </w:pPr>
      <w:r>
        <w:rPr>
          <w:rtl w:val="0"/>
          <w:lang w:val="fa-IR"/>
        </w:rPr>
        <w:t xml:space="preserve">تلمیذ:</w:t>
      </w:r>
      <w:r>
        <w:rPr>
          <w:rtl w:val="0"/>
          <w:lang w:val="fa-IR"/>
        </w:rPr>
        <w:t xml:space="preserve"> منظور ظاهر است.</w:t>
      </w:r>
    </w:p>
    <w:p>
      <w:pPr/>
      <w:r>
        <w:rPr>
          <w:rtl w:val="0"/>
          <w:lang w:val="fa-IR"/>
        </w:rPr>
        <w:t xml:space="preserve">استاد:</w:t>
      </w:r>
      <w:r>
        <w:rPr>
          <w:rtl w:val="0"/>
          <w:lang w:val="fa-IR"/>
        </w:rPr>
        <w:t xml:space="preserve"> نه‌خیر، امام صادق فیلم درنمی‌آورد!</w:t>
      </w:r>
    </w:p>
    <w:p>
      <w:pPr>
        <w:pStyle w:val="SoalMatn"/>
      </w:pPr>
      <w:r>
        <w:rPr>
          <w:rtl w:val="0"/>
          <w:lang w:val="fa-IR"/>
        </w:rPr>
        <w:t xml:space="preserve">تلمیذ:</w:t>
      </w:r>
      <w:r>
        <w:rPr>
          <w:rtl w:val="0"/>
          <w:lang w:val="fa-IR"/>
        </w:rPr>
        <w:t xml:space="preserve"> 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9"/>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40"/>
      </w:r>
    </w:p>
    <w:p>
      <w:pPr/>
      <w:r>
        <w:rPr>
          <w:rtl w:val="0"/>
          <w:lang w:val="fa-IR"/>
        </w:rPr>
        <w:t xml:space="preserve">استاد:</w:t>
      </w:r>
      <w:r>
        <w:rPr>
          <w:rtl w:val="0"/>
          <w:lang w:val="fa-IR"/>
        </w:rPr>
        <w:t xml:space="preserve"> 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w:t>
      </w:r>
      <w:r>
        <w:rPr>
          <w:rtl w:val="0"/>
          <w:lang w:val="fa-IR"/>
        </w:rPr>
        <w:t xml:space="preserve"> غیر از ولایت پیغمبر، نفس پیغمبر هم...؟</w:t>
      </w:r>
    </w:p>
    <w:p>
      <w:pPr/>
      <w:r>
        <w:rPr>
          <w:rtl w:val="0"/>
          <w:lang w:val="fa-IR"/>
        </w:rPr>
        <w:t xml:space="preserve">استاد:</w:t>
      </w:r>
      <w:r>
        <w:rPr>
          <w:rtl w:val="0"/>
          <w:lang w:val="fa-IR"/>
        </w:rPr>
        <w:t xml:space="preserve"> 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سسلسله برسد به رسول خدا؟]</w:t>
      </w:r>
    </w:p>
    <w:p>
      <w:pPr/>
      <w:r>
        <w:rPr>
          <w:rtl w:val="0"/>
          <w:lang w:val="fa-IR"/>
        </w:rPr>
        <w:t xml:space="preserve">استاد:</w:t>
      </w:r>
      <w:r>
        <w:rPr>
          <w:rtl w:val="0"/>
          <w:lang w:val="fa-IR"/>
        </w:rPr>
        <w:t xml:space="preserve"> 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Style w:val="FootnoteReference"/>
        </w:rPr>
        <w:footnoteReference w:id="41"/>
      </w:r>
      <w:r>
        <w:rPr>
          <w:rtl w:val="0"/>
          <w:lang w:val="fa-IR"/>
        </w:rPr>
        <w:t xml:space="preserve"> برگشت همۀ اینها به نفس پیغمبر است و اینها از آن حیطه اشراب می‌شوند.</w:t>
      </w:r>
      <w:r>
        <w:rPr>
          <w:rStyle w:val="FootnoteReference"/>
        </w:rPr>
        <w:footnoteReference w:id="42"/>
      </w:r>
    </w:p>
    <w:p>
      <w:pPr/>
      <w:r>
        <w:rPr>
          <w:rtl w:val="0"/>
          <w:lang w:val="fa-IR"/>
        </w:rPr>
        <w:t xml:space="preserve">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 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2"/>
      </w:pPr>
      <w:r>
        <w:rPr>
          <w:rtl w:val="0"/>
          <w:lang w:val="fa-IR"/>
        </w:rPr>
        <w:t xml:space="preserve">تفسیر سنخیت بر اساس مطالب گذشته</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استاد:</w:t>
      </w:r>
      <w:r>
        <w:rPr>
          <w:rtl w:val="0"/>
          <w:lang w:val="fa-IR"/>
        </w:rPr>
        <w:t xml:space="preserve"> اشکالی در آن نیست. این سنخیّت را به دو قسم تفسیر می‌کنیم:</w:t>
      </w:r>
    </w:p>
    <w:p>
      <w:pPr/>
      <w:r>
        <w:rPr>
          <w:rtl w:val="0"/>
          <w:lang w:val="fa-IR"/>
        </w:rPr>
        <w:t xml:space="preserve">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w:t>
      </w:r>
      <w:r>
        <w:rPr>
          <w:rtl w:val="0"/>
          <w:lang w:val="fa-IR"/>
        </w:rPr>
        <w:t xml:space="preserve"> یعنی در این‌صورت رابطۀ طولیه برقرار می‌شود؟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برای چه؟ چون ما فرض کردیم سنخیّت در عالَم فناء حاصل شده است!</w:t>
      </w:r>
    </w:p>
    <w:p>
      <w:pPr/>
      <w:r>
        <w:rPr>
          <w:rtl w:val="0"/>
          <w:lang w:val="fa-IR"/>
        </w:rPr>
        <w:t xml:space="preserve">استاد:</w:t>
      </w:r>
      <w:r>
        <w:rPr>
          <w:rtl w:val="0"/>
          <w:lang w:val="fa-IR"/>
        </w:rPr>
        <w:t xml:space="preserve"> 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 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w:t>
      </w:r>
      <w:r>
        <w:rPr>
          <w:rtl w:val="0"/>
          <w:lang w:val="fa-IR"/>
        </w:rPr>
        <w:t xml:space="preserve"> یعنی همۀ اسماء ظهور پیدا می‌کنند اما به اندازۀ سعۀ آن نفس؟ مثلاً اگر سعۀ زید کم باشد، به همان اندازه ظهور می‌کنند؟</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یعنی الآن به مقدار سعۀ خود در عالَم بقاء سنخیّت پیدا کرده است؟</w:t>
      </w:r>
    </w:p>
    <w:p>
      <w:pPr/>
      <w:r>
        <w:rPr>
          <w:rtl w:val="0"/>
          <w:lang w:val="fa-IR"/>
        </w:rPr>
        <w:t xml:space="preserve">استاد:</w:t>
      </w:r>
      <w:r>
        <w:rPr>
          <w:rtl w:val="0"/>
          <w:lang w:val="fa-IR"/>
        </w:rPr>
        <w:t xml:space="preserve"> 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w:t>
      </w:r>
      <w:r>
        <w:rPr>
          <w:rtl w:val="0"/>
          <w:lang w:val="fa-IR"/>
        </w:rPr>
        <w:t xml:space="preserve"> [واسطه] نفس خود اوست.</w:t>
      </w:r>
    </w:p>
    <w:p>
      <w:pPr/>
      <w:r>
        <w:rPr>
          <w:rtl w:val="0"/>
          <w:lang w:val="fa-IR"/>
        </w:rPr>
        <w:t xml:space="preserve">استاد:</w:t>
      </w:r>
      <w:r>
        <w:rPr>
          <w:rtl w:val="0"/>
          <w:lang w:val="fa-IR"/>
        </w:rPr>
        <w:t xml:space="preserve"> 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w:t>
      </w:r>
      <w:r>
        <w:rPr>
          <w:rtl w:val="0"/>
          <w:lang w:val="fa-IR"/>
        </w:rPr>
        <w:t xml:space="preserve"> در پیغمبر اکرم صلّی الله علیه و آله و سلّم و حقیقت محمدیّه.</w:t>
      </w:r>
    </w:p>
    <w:p>
      <w:pPr/>
      <w:r>
        <w:rPr>
          <w:rtl w:val="0"/>
          <w:lang w:val="fa-IR"/>
        </w:rPr>
        <w:t xml:space="preserve">استاد:</w:t>
      </w:r>
      <w:r>
        <w:rPr>
          <w:rtl w:val="0"/>
          <w:lang w:val="fa-IR"/>
        </w:rPr>
        <w:t xml:space="preserve"> 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w:t>
      </w:r>
      <w:r>
        <w:rPr>
          <w:rtl w:val="0"/>
          <w:lang w:val="fa-IR"/>
        </w:rPr>
        <w:t xml:space="preserve"> 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استاد:</w:t>
      </w:r>
      <w:r>
        <w:rPr>
          <w:rtl w:val="0"/>
          <w:lang w:val="fa-IR"/>
        </w:rPr>
        <w:t xml:space="preserve"> سعۀ وجودی همان ولایت است! به عبارت دیگر، این سعۀ وجودی همان اشراف ولایت بر سالک است.</w:t>
      </w:r>
    </w:p>
    <w:p>
      <w:pPr/>
      <w:r>
        <w:rPr>
          <w:rtl w:val="0"/>
          <w:lang w:val="fa-IR"/>
        </w:rPr>
        <w:t xml:space="preserve">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w:t>
      </w:r>
      <w:r>
        <w:rPr>
          <w:rtl w:val="0"/>
          <w:lang w:val="fa-IR"/>
        </w:rPr>
        <w:t xml:space="preserve"> برای چه این‌گونه است و آن چیست؟</w:t>
      </w:r>
    </w:p>
    <w:p>
      <w:pPr/>
      <w:r>
        <w:rPr>
          <w:rtl w:val="0"/>
          <w:lang w:val="fa-IR"/>
        </w:rPr>
        <w:t xml:space="preserve">استاد:</w:t>
      </w:r>
      <w:r>
        <w:rPr>
          <w:rtl w:val="0"/>
          <w:lang w:val="fa-IR"/>
        </w:rPr>
        <w:t xml:space="preserve"> نفس ارادۀ خداوند متعال!</w:t>
      </w:r>
    </w:p>
    <w:p>
      <w:pPr>
        <w:pStyle w:val="SoalMatn"/>
      </w:pPr>
      <w:r>
        <w:rPr>
          <w:rtl w:val="0"/>
          <w:lang w:val="fa-IR"/>
        </w:rPr>
        <w:t xml:space="preserve">تلمیذ:</w:t>
      </w:r>
      <w:r>
        <w:rPr>
          <w:rtl w:val="0"/>
          <w:lang w:val="fa-IR"/>
        </w:rPr>
        <w:t xml:space="preserve"> بله، اما من می‌گویم این خلاف فرض ما است که [ولایت] همان سعۀ وجودی است و سنخیّت همان امکانیّت أخذ از اسماء کلّیه است.</w:t>
      </w:r>
    </w:p>
    <w:p>
      <w:pPr/>
      <w:r>
        <w:rPr>
          <w:rtl w:val="0"/>
          <w:lang w:val="fa-IR"/>
        </w:rPr>
        <w:t xml:space="preserve">استاد:</w:t>
      </w:r>
      <w:r>
        <w:rPr>
          <w:rtl w:val="0"/>
          <w:lang w:val="fa-IR"/>
        </w:rPr>
        <w:t xml:space="preserve"> فقط همین فرق است.</w:t>
      </w:r>
    </w:p>
    <w:p>
      <w:pPr>
        <w:pStyle w:val="SoalMatn"/>
      </w:pPr>
      <w:r>
        <w:rPr>
          <w:rtl w:val="0"/>
          <w:lang w:val="fa-IR"/>
        </w:rPr>
        <w:t xml:space="preserve">تلمیذ:</w:t>
      </w:r>
      <w:r>
        <w:rPr>
          <w:rtl w:val="0"/>
          <w:lang w:val="fa-IR"/>
        </w:rPr>
        <w:t xml:space="preserve"> ما سعۀ وجودی را این‌گونه تعریف کردیم که می‌تواند هر روز از اسماء کلّیه به‌صورت مباشر و بلا واسطه أخذ نماید.</w:t>
      </w:r>
    </w:p>
    <w:p>
      <w:pPr/>
      <w:r>
        <w:rPr>
          <w:rtl w:val="0"/>
          <w:lang w:val="fa-IR"/>
        </w:rPr>
        <w:t xml:space="preserve">استاد:</w:t>
      </w:r>
      <w:r>
        <w:rPr>
          <w:rtl w:val="0"/>
          <w:lang w:val="fa-IR"/>
        </w:rPr>
        <w:t xml:space="preserve"> 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pStyle w:val="SoalMatn"/>
      </w:pPr>
      <w:r>
        <w:rPr>
          <w:rtl w:val="0"/>
          <w:lang w:val="fa-IR"/>
        </w:rPr>
        <w:t xml:space="preserve">تلمیذ:</w:t>
      </w:r>
      <w:r>
        <w:rPr>
          <w:rtl w:val="0"/>
          <w:lang w:val="fa-IR"/>
        </w:rPr>
        <w:t xml:space="preserve"> 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استاد:</w:t>
      </w:r>
      <w:r>
        <w:rPr>
          <w:rtl w:val="0"/>
          <w:lang w:val="fa-IR"/>
        </w:rPr>
        <w:t xml:space="preserve"> 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w:t>
      </w:r>
      <w:r>
        <w:rPr>
          <w:rtl w:val="0"/>
          <w:lang w:val="fa-IR"/>
        </w:rPr>
        <w:t xml:space="preserve"> 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استاد:</w:t>
      </w:r>
      <w:r>
        <w:rPr>
          <w:rtl w:val="0"/>
          <w:lang w:val="fa-IR"/>
        </w:rPr>
        <w:t xml:space="preserve"> راجع به سنخیّت باید گفت که ما دو نوع سنخیّت داریم:</w:t>
      </w:r>
    </w:p>
    <w:p>
      <w:pPr/>
      <w:r>
        <w:rPr>
          <w:rtl w:val="0"/>
          <w:lang w:val="fa-IR"/>
        </w:rPr>
        <w:t xml:space="preserve">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نوع دوم: نسبت به خود ابر است؛ یعنی چرا باران در این ظرف می‌ریزد اما در ظرف دیگر نمی‌ریزد؟ این یک سنخیّت دیگر است که همان استعداد و قابلیتی است 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یکی سنخیّتی است که به‌واسطۀ ذکر و ریاضات و مجاهدات شرعیّه کم‌کم حاصل می‌شود، تا اینکه به تجرّد تام می‌رسد و در [حریم]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w:t>
      </w:r>
      <w:r>
        <w:rPr>
          <w:rtl w:val="0"/>
          <w:lang w:val="fa-IR"/>
        </w:rPr>
        <w:t xml:space="preserve"> یعنی قابلیت محضه برای أخذ پیدا می‌کند!</w:t>
      </w:r>
    </w:p>
    <w:p>
      <w:pPr/>
      <w:r>
        <w:rPr>
          <w:rtl w:val="0"/>
          <w:lang w:val="fa-IR"/>
        </w:rPr>
        <w:t xml:space="preserve">استاد:</w:t>
      </w:r>
      <w:r>
        <w:rPr>
          <w:rtl w:val="0"/>
          <w:lang w:val="fa-IR"/>
        </w:rPr>
        <w:t xml:space="preserve"> 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1"/>
      </w:pPr>
      <w:r>
        <w:rPr>
          <w:rtl w:val="0"/>
          <w:lang w:val="fa-IR"/>
        </w:rPr>
        <w:t xml:space="preserve">کیفیت تدبیر نظام تکوین در زمان غیبت</w:t>
      </w:r>
    </w:p>
    <w:p>
      <w:pPr>
        <w:pStyle w:val="SoalMatn"/>
      </w:pPr>
      <w:r>
        <w:rPr>
          <w:rtl w:val="0"/>
          <w:lang w:val="fa-IR"/>
        </w:rPr>
        <w:t xml:space="preserve">تلمیذ:</w:t>
      </w:r>
      <w:r>
        <w:rPr>
          <w:rtl w:val="0"/>
          <w:lang w:val="fa-IR"/>
        </w:rPr>
        <w:t xml:space="preserve"> 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استاد:</w:t>
      </w:r>
      <w:r>
        <w:rPr>
          <w:rtl w:val="0"/>
          <w:lang w:val="fa-IR"/>
        </w:rPr>
        <w:t xml:space="preserve"> 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بلاتشبیه درست مثل این است که می‌گویند: وقتی قرار بر این است که در یک 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شاکلۀ ولیّ هم نسبت به مصلحت الهی همین‌طور است! ...]</w:t>
      </w:r>
    </w:p>
    <w:p>
      <w:pPr>
        <w:pStyle w:val="ChapChin"/>
      </w:pPr>
      <w:r>
        <w:rPr>
          <w:rStyle w:val="Arabi"/>
          <w:rtl w:val="0"/>
          <w:lang w:val="fa-IR"/>
        </w:rPr>
        <w:t xml:space="preserve">اللَهمّ صلّ علیٰ محمّدٍ و آلِ محمّد</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2">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r>
    </w:p>
    <w:p>
      <w:pPr>
        <w:pStyle w:val="FootnoteText"/>
      </w:pPr>
      <w:r>
        <w:rPr>
          <w:rtl w:val="0"/>
          <w:lang w:val="fa-IR"/>
        </w:rPr>
        <w:t xml:space="preserve">المصنّف</w:t>
      </w:r>
      <w:r>
        <w:rPr>
          <w:rtl w:val="0"/>
          <w:lang w:val="fa-IR"/>
        </w:rPr>
        <w:t xml:space="preserve">، صنعانی، ج 11، باب المهدی، ص 371 ـ 374؛ </w:t>
      </w:r>
      <w:r>
        <w:rPr>
          <w:rtl w:val="0"/>
          <w:lang w:val="fa-IR"/>
        </w:rPr>
        <w:t xml:space="preserve">المصنّف</w:t>
      </w:r>
      <w:r>
        <w:rPr>
          <w:rtl w:val="0"/>
          <w:lang w:val="fa-IR"/>
        </w:rPr>
        <w:t xml:space="preserve">، ابن‌أبی‌شیبه، ج 8، ص 590 ـ 679؛ </w:t>
      </w:r>
      <w:r>
        <w:rPr>
          <w:rtl w:val="0"/>
          <w:lang w:val="fa-IR"/>
        </w:rPr>
        <w:t xml:space="preserve">سنن ابن‌ماجة</w:t>
      </w:r>
      <w:r>
        <w:rPr>
          <w:rtl w:val="0"/>
          <w:lang w:val="fa-IR"/>
        </w:rPr>
        <w:t xml:space="preserve">، ج 2، باب خروج المهدی، ص 1366 ـ 1368؛ </w:t>
      </w:r>
      <w:r>
        <w:rPr>
          <w:rtl w:val="0"/>
          <w:lang w:val="fa-IR"/>
        </w:rPr>
        <w:t xml:space="preserve">سنن أبی‌داود</w:t>
      </w:r>
      <w:r>
        <w:rPr>
          <w:rtl w:val="0"/>
          <w:lang w:val="fa-IR"/>
        </w:rPr>
        <w:t xml:space="preserve">، ج 2، کتاب المهدی، ص 309 ـ 311؛ </w:t>
      </w:r>
      <w:r>
        <w:rPr>
          <w:rtl w:val="0"/>
          <w:lang w:val="fa-IR"/>
        </w:rPr>
        <w:t xml:space="preserve">سنن الترمذی</w:t>
      </w:r>
      <w:r>
        <w:rPr>
          <w:rtl w:val="0"/>
          <w:lang w:val="fa-IR"/>
        </w:rPr>
        <w:t xml:space="preserve">، ج 3، باب ما جاء فی المهدی، ص 343؛ </w:t>
      </w:r>
      <w:r>
        <w:rPr>
          <w:rtl w:val="0"/>
          <w:lang w:val="fa-IR"/>
        </w:rPr>
        <w:t xml:space="preserve">صحیح ابن‌حبان</w:t>
      </w:r>
      <w:r>
        <w:rPr>
          <w:rtl w:val="0"/>
          <w:lang w:val="fa-IR"/>
        </w:rPr>
        <w:t xml:space="preserve">، ج 15، الإخبار عن خروج المهدی، ص 236 ـ 239؛ </w:t>
      </w:r>
      <w:r>
        <w:rPr>
          <w:rtl w:val="0"/>
          <w:lang w:val="fa-IR"/>
        </w:rPr>
        <w:t xml:space="preserve">المستدرک علی الصّحیحین</w:t>
      </w:r>
      <w:r>
        <w:rPr>
          <w:rtl w:val="0"/>
          <w:lang w:val="fa-IR"/>
        </w:rPr>
        <w:t xml:space="preserve">، حاکم نیشابوری، ج 4، کتاب الفتن، ص 418 ـ 558؛ </w:t>
      </w:r>
      <w:r>
        <w:rPr>
          <w:rtl w:val="0"/>
          <w:lang w:val="fa-IR"/>
        </w:rPr>
        <w:t xml:space="preserve">الفتن</w:t>
      </w:r>
      <w:r>
        <w:rPr>
          <w:rtl w:val="0"/>
          <w:lang w:val="fa-IR"/>
        </w:rPr>
        <w:t xml:space="preserve">، نعیم بن حمّاد، ص 226 ـ 290؛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479 ـ 490؛ </w:t>
      </w:r>
      <w:r>
        <w:rPr>
          <w:rtl w:val="0"/>
          <w:lang w:val="fa-IR"/>
        </w:rPr>
        <w:t xml:space="preserve">تذکرة الخواص من الأمّة بذکر خصائص الأئمّة</w:t>
      </w:r>
      <w:r>
        <w:rPr>
          <w:rtl w:val="0"/>
          <w:lang w:val="fa-IR"/>
        </w:rPr>
        <w:t xml:space="preserve">، سبط بن جوزی، فصل فی ذکر الحجّة المهدی، ص 325 و 326؛ </w:t>
      </w:r>
      <w:r>
        <w:rPr>
          <w:rtl w:val="0"/>
          <w:lang w:val="fa-IR"/>
        </w:rPr>
        <w:t xml:space="preserve">فرائد السّمطین</w:t>
      </w:r>
      <w:r>
        <w:rPr>
          <w:rtl w:val="0"/>
          <w:lang w:val="fa-IR"/>
        </w:rPr>
        <w:t xml:space="preserve">، جوینی، ج 2، کتاب الفتن، باب 61، ص 310 ـ 342؛ </w:t>
      </w:r>
      <w:r>
        <w:rPr>
          <w:rtl w:val="0"/>
          <w:lang w:val="fa-IR"/>
        </w:rPr>
        <w:t xml:space="preserve">المنار المنیف فی الصّحیح و الضّعیف</w:t>
      </w:r>
      <w:r>
        <w:rPr>
          <w:rtl w:val="0"/>
          <w:lang w:val="fa-IR"/>
        </w:rPr>
        <w:t xml:space="preserve">، ابن‌قیّم جوزیه، فصل پنجاهم، ص 140 ـ 156؛ </w:t>
      </w:r>
      <w:r>
        <w:rPr>
          <w:rtl w:val="0"/>
          <w:lang w:val="fa-IR"/>
        </w:rPr>
        <w:t xml:space="preserve">الفصول المهمّة فی معرفة الأئمّة</w:t>
      </w:r>
      <w:r>
        <w:rPr>
          <w:rtl w:val="0"/>
          <w:lang w:val="fa-IR"/>
        </w:rPr>
        <w:t xml:space="preserve">، ابن‌صبّاغ مالکی، ج 2، الفصل الثانی‌عشر فی ذکر أبی‌القاسم محمّد الحجّة الخلف الصّالح، ص 1095 ـ 1136؛ </w:t>
      </w:r>
      <w:r>
        <w:rPr>
          <w:rtl w:val="0"/>
          <w:lang w:val="fa-IR"/>
        </w:rPr>
        <w:t xml:space="preserve">الأئمّة الإثنا عشر</w:t>
      </w:r>
      <w:r>
        <w:rPr>
          <w:rtl w:val="0"/>
          <w:lang w:val="fa-IR"/>
        </w:rPr>
        <w:t xml:space="preserve">، ابن‌طولون، باب 12: الحجّة المهدی، ص 115 ـ 122؛ </w:t>
      </w:r>
      <w:r>
        <w:rPr>
          <w:rtl w:val="0"/>
          <w:lang w:val="fa-IR"/>
        </w:rPr>
        <w:t xml:space="preserve">أخبار الدّول و الآثار الأول فی التاریخ</w:t>
      </w:r>
      <w:r>
        <w:rPr>
          <w:rtl w:val="0"/>
          <w:lang w:val="fa-IR"/>
        </w:rPr>
        <w:t xml:space="preserve">، قرمانی، ج 1، الباب الثالث، الفصل الحادی‌عشر فی ذکر أبی‌القاسم محمّد الحجّة الخلف الصّالح، ص 353 و 354؛ </w:t>
      </w:r>
      <w:r>
        <w:rPr>
          <w:rtl w:val="0"/>
          <w:lang w:val="fa-IR"/>
        </w:rPr>
        <w:t xml:space="preserve">ینابیع المودّة لذوی القربی</w:t>
      </w:r>
      <w:r>
        <w:rPr>
          <w:rtl w:val="0"/>
          <w:lang w:val="fa-IR"/>
        </w:rPr>
        <w:t xml:space="preserve">، قندوزی، ج 3، باب 71 ـ 86، ص 235 ـ 348؛ </w:t>
      </w:r>
      <w:r>
        <w:rPr>
          <w:rtl w:val="0"/>
          <w:lang w:val="fa-IR"/>
        </w:rPr>
        <w:t xml:space="preserve">نور الأبصار فی مناقب آل‌بیت النّبی المختار</w:t>
      </w:r>
      <w:r>
        <w:rPr>
          <w:rtl w:val="0"/>
          <w:lang w:val="fa-IR"/>
        </w:rPr>
        <w:t xml:space="preserve"> صلّی الله علیه و آله و سلّم، شبلنجی، الباب الثانی، فصل فی ذکر مناقب محمّد بن الحسن الخالص، ص 342 ـ 349.</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249 کتاب از عامّه را که پیرامون این مطلب روایت نقل کرده‌اند، ذکر می‌نماید. (محقق)</w:t>
      </w:r>
    </w:p>
  </w:footnote>
  <w:footnote w:id="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399.</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53 و 54 و 66 و 67؛ </w:t>
      </w:r>
      <w:r>
        <w:rPr>
          <w:rtl w:val="0"/>
          <w:lang w:val="fa-IR"/>
        </w:rPr>
        <w:t xml:space="preserve">اعلام الوری</w:t>
      </w:r>
      <w:r>
        <w:rPr>
          <w:rtl w:val="0"/>
          <w:lang w:val="fa-IR"/>
        </w:rPr>
        <w:t xml:space="preserve">، ج 2، ص 182.</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51، 52 و 53.</w:t>
      </w:r>
    </w:p>
  </w:footnote>
  <w:footnote w:id="5">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رسائل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w:t>
      </w:r>
      <w:r>
        <w:rPr>
          <w:rtl w:val="0"/>
          <w:lang w:val="fa-IR"/>
        </w:rPr>
        <w:t xml:space="preserve">،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w:t>
      </w:r>
      <w:r>
        <w:rPr>
          <w:rtl w:val="0"/>
          <w:lang w:val="fa-IR"/>
        </w:rPr>
        <w:t xml:space="preserve">،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فرجه، محمدی ری‌شهری؛ </w:t>
      </w:r>
      <w:r>
        <w:rPr>
          <w:rtl w:val="0"/>
          <w:lang w:val="fa-IR"/>
        </w:rPr>
        <w:t xml:space="preserve">عصر الظهور</w:t>
      </w:r>
      <w:r>
        <w:rPr>
          <w:rtl w:val="0"/>
          <w:lang w:val="fa-IR"/>
        </w:rPr>
        <w:t xml:space="preserve">، کورانی؛ </w:t>
      </w:r>
      <w:r>
        <w:rPr>
          <w:rtl w:val="0"/>
          <w:lang w:val="fa-IR"/>
        </w:rPr>
        <w:t xml:space="preserve">منتخب الأثر فی الإمام الثانی‌عشر</w:t>
      </w:r>
      <w:r>
        <w:rPr>
          <w:rtl w:val="0"/>
          <w:lang w:val="fa-IR"/>
        </w:rPr>
        <w:t xml:space="preserve"> عجّل الله فرجه، صافی گلپایگانی؛ </w:t>
      </w:r>
      <w:r>
        <w:rPr>
          <w:rtl w:val="0"/>
          <w:lang w:val="fa-IR"/>
        </w:rPr>
        <w:t xml:space="preserve">یوم الخلاص فی ظلّ القائم المهدی</w:t>
      </w:r>
      <w:r>
        <w:rPr>
          <w:rtl w:val="0"/>
          <w:lang w:val="fa-IR"/>
        </w:rPr>
        <w:t xml:space="preserve">، کامل سلیمان. (محقق)</w:t>
      </w:r>
    </w:p>
  </w:footnote>
  <w:footnote w:id="6">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87؛ ابن‌حجر هیتمی در </w:t>
      </w:r>
      <w:r>
        <w:rPr>
          <w:rtl w:val="0"/>
          <w:lang w:val="fa-IR"/>
        </w:rPr>
        <w:t xml:space="preserve">الصواعق المحرقة</w:t>
      </w:r>
      <w:r>
        <w:rPr>
          <w:rtl w:val="0"/>
          <w:lang w:val="fa-IR"/>
        </w:rPr>
        <w:t xml:space="preserve">، ص 162 ـ 167؛ غماری حسنی در </w:t>
      </w:r>
      <w:r>
        <w:rPr>
          <w:rtl w:val="0"/>
          <w:lang w:val="fa-IR"/>
        </w:rPr>
        <w:t xml:space="preserve">إبراز الوهم المکنون</w:t>
      </w:r>
      <w:r>
        <w:rPr>
          <w:rtl w:val="0"/>
          <w:lang w:val="fa-IR"/>
        </w:rPr>
        <w:t xml:space="preserve">، ص 435 ـ 437؛ سیوطی در </w:t>
      </w:r>
      <w:r>
        <w:rPr>
          <w:rtl w:val="0"/>
          <w:lang w:val="fa-IR"/>
        </w:rPr>
        <w:t xml:space="preserve">العرف الوردی</w:t>
      </w:r>
      <w:r>
        <w:rPr>
          <w:rtl w:val="0"/>
          <w:lang w:val="fa-IR"/>
        </w:rPr>
        <w:t xml:space="preserve">، ص 41 ـ 44. (محقق)</w:t>
      </w:r>
    </w:p>
  </w:footnote>
  <w:footnote w:id="7">
    <w:p>
      <w:pPr>
        <w:pStyle w:val="FootnoteText"/>
      </w:pPr>
      <w:r>
        <w:rPr>
          <w:rStyle w:val="FootnoteReference"/>
        </w:rPr>
        <w:footnoteRef/>
      </w:r>
      <w:r>
        <w:t xml:space="preserve"> </w:t>
      </w:r>
      <w:r>
        <w:rPr>
          <w:rtl w:val="0"/>
          <w:lang w:val="fa-IR"/>
        </w:rPr>
        <w:t xml:space="preserve">این کتاب همان «إثبات الرّجعة» معروف به «الغیبة» می‌باشد. رجوع شود به </w:t>
      </w:r>
      <w:r>
        <w:rPr>
          <w:rtl w:val="0"/>
          <w:lang w:val="fa-IR"/>
        </w:rPr>
        <w:t xml:space="preserve">رجال النجاشی</w:t>
      </w:r>
      <w:r>
        <w:rPr>
          <w:rtl w:val="0"/>
          <w:lang w:val="fa-IR"/>
        </w:rPr>
        <w:t xml:space="preserve">، ص 307. (محقق)</w:t>
      </w:r>
    </w:p>
  </w:footnote>
  <w:footnote w:id="8">
    <w:p>
      <w:pPr>
        <w:pStyle w:val="FootnoteText"/>
      </w:pPr>
      <w:r>
        <w:rPr>
          <w:rStyle w:val="FootnoteReference"/>
        </w:rPr>
        <w:footnoteRef/>
      </w:r>
      <w:r>
        <w:t xml:space="preserve"> </w:t>
      </w:r>
      <w:r>
        <w:rPr>
          <w:rtl w:val="0"/>
          <w:lang w:val="fa-IR"/>
        </w:rPr>
        <w:t xml:space="preserve">مسند أحمد</w:t>
      </w:r>
      <w:r>
        <w:rPr>
          <w:rtl w:val="0"/>
          <w:lang w:val="fa-IR"/>
        </w:rPr>
        <w:t xml:space="preserve">، ج 1، ص 398 و 406؛ ج 5، ص 87 ـ 108؛ </w:t>
      </w:r>
      <w:r>
        <w:rPr>
          <w:rtl w:val="0"/>
          <w:lang w:val="fa-IR"/>
        </w:rPr>
        <w:t xml:space="preserve">سنن أبی‌داود</w:t>
      </w:r>
      <w:r>
        <w:rPr>
          <w:rtl w:val="0"/>
          <w:lang w:val="fa-IR"/>
        </w:rPr>
        <w:t xml:space="preserve">، ج 2، ص 309؛ </w:t>
      </w:r>
      <w:r>
        <w:rPr>
          <w:rtl w:val="0"/>
          <w:lang w:val="fa-IR"/>
        </w:rPr>
        <w:t xml:space="preserve">صحیح مسلم</w:t>
      </w:r>
      <w:r>
        <w:rPr>
          <w:rtl w:val="0"/>
          <w:lang w:val="fa-IR"/>
        </w:rPr>
        <w:t xml:space="preserve">، ج 6، ص 3 و 4؛ </w:t>
      </w:r>
      <w:r>
        <w:rPr>
          <w:rtl w:val="0"/>
          <w:lang w:val="fa-IR"/>
        </w:rPr>
        <w:t xml:space="preserve">سنن الترمذی</w:t>
      </w:r>
      <w:r>
        <w:rPr>
          <w:rtl w:val="0"/>
          <w:lang w:val="fa-IR"/>
        </w:rPr>
        <w:t xml:space="preserve">، ج 3، ص 340؛ </w:t>
      </w:r>
      <w:r>
        <w:rPr>
          <w:rtl w:val="0"/>
          <w:lang w:val="fa-IR"/>
        </w:rPr>
        <w:t xml:space="preserve">المستدرک</w:t>
      </w:r>
      <w:r>
        <w:rPr>
          <w:rtl w:val="0"/>
          <w:lang w:val="fa-IR"/>
        </w:rPr>
        <w:t xml:space="preserve">، حاکم نیشابوری، ج 3، ص 617 و 618؛ ج 4، ص 501؛ </w:t>
      </w:r>
      <w:r>
        <w:rPr>
          <w:rtl w:val="0"/>
          <w:lang w:val="fa-IR"/>
        </w:rPr>
        <w:t xml:space="preserve">فتح الباری</w:t>
      </w:r>
      <w:r>
        <w:rPr>
          <w:rtl w:val="0"/>
          <w:lang w:val="fa-IR"/>
        </w:rPr>
        <w:t xml:space="preserve">، ج 13، ص 181 و 183؛ </w:t>
      </w:r>
      <w:r>
        <w:rPr>
          <w:rtl w:val="0"/>
          <w:lang w:val="fa-IR"/>
        </w:rPr>
        <w:t xml:space="preserve">عمدة القاری</w:t>
      </w:r>
      <w:r>
        <w:rPr>
          <w:rtl w:val="0"/>
          <w:lang w:val="fa-IR"/>
        </w:rPr>
        <w:t xml:space="preserve">، ج 16، ص 74؛ </w:t>
      </w:r>
      <w:r>
        <w:rPr>
          <w:rtl w:val="0"/>
          <w:lang w:val="fa-IR"/>
        </w:rPr>
        <w:t xml:space="preserve">مسند أبی‌داود الطیالسی</w:t>
      </w:r>
      <w:r>
        <w:rPr>
          <w:rtl w:val="0"/>
          <w:lang w:val="fa-IR"/>
        </w:rPr>
        <w:t xml:space="preserve">، ص 105 ـ 180؛ </w:t>
      </w:r>
      <w:r>
        <w:rPr>
          <w:rtl w:val="0"/>
          <w:lang w:val="fa-IR"/>
        </w:rPr>
        <w:t xml:space="preserve">مسند ابن‌الجعد</w:t>
      </w:r>
      <w:r>
        <w:rPr>
          <w:rtl w:val="0"/>
          <w:lang w:val="fa-IR"/>
        </w:rPr>
        <w:t xml:space="preserve">، ص 390؛ </w:t>
      </w:r>
      <w:r>
        <w:rPr>
          <w:rtl w:val="0"/>
          <w:lang w:val="fa-IR"/>
        </w:rPr>
        <w:t xml:space="preserve">الآحاد و المثانی</w:t>
      </w:r>
      <w:r>
        <w:rPr>
          <w:rtl w:val="0"/>
          <w:lang w:val="fa-IR"/>
        </w:rPr>
        <w:t xml:space="preserve">، ج 3، ص 126 ـ 128؛ </w:t>
      </w:r>
      <w:r>
        <w:rPr>
          <w:rtl w:val="0"/>
          <w:lang w:val="fa-IR"/>
        </w:rPr>
        <w:t xml:space="preserve">السنة</w:t>
      </w:r>
      <w:r>
        <w:rPr>
          <w:rtl w:val="0"/>
          <w:lang w:val="fa-IR"/>
        </w:rPr>
        <w:t xml:space="preserve">، ابن‌أبی‌عاصم، ص 518؛ </w:t>
      </w:r>
      <w:r>
        <w:rPr>
          <w:rtl w:val="0"/>
          <w:lang w:val="fa-IR"/>
        </w:rPr>
        <w:t xml:space="preserve">مسند أبی‌یعلی</w:t>
      </w:r>
      <w:r>
        <w:rPr>
          <w:rtl w:val="0"/>
          <w:lang w:val="fa-IR"/>
        </w:rPr>
        <w:t xml:space="preserve">، ج 8، ص 444؛ ج 9، ص 222؛ ج 13، ص 457؛ </w:t>
      </w:r>
      <w:r>
        <w:rPr>
          <w:rtl w:val="0"/>
          <w:lang w:val="fa-IR"/>
        </w:rPr>
        <w:t xml:space="preserve">صحیح ابن‌حبان</w:t>
      </w:r>
      <w:r>
        <w:rPr>
          <w:rtl w:val="0"/>
          <w:lang w:val="fa-IR"/>
        </w:rPr>
        <w:t xml:space="preserve">، ج 15، ص 43 ـ 46؛ </w:t>
      </w:r>
      <w:r>
        <w:rPr>
          <w:rtl w:val="0"/>
          <w:lang w:val="fa-IR"/>
        </w:rPr>
        <w:t xml:space="preserve">المعجم الکبیر</w:t>
      </w:r>
      <w:r>
        <w:rPr>
          <w:rtl w:val="0"/>
          <w:lang w:val="fa-IR"/>
        </w:rPr>
        <w:t xml:space="preserve">، ج 2، ص 196 ـ 255؛ ج 10، ص 158؛ </w:t>
      </w:r>
      <w:r>
        <w:rPr>
          <w:rtl w:val="0"/>
          <w:lang w:val="fa-IR"/>
        </w:rPr>
        <w:t xml:space="preserve">الإستیعاب</w:t>
      </w:r>
      <w:r>
        <w:rPr>
          <w:rtl w:val="0"/>
          <w:lang w:val="fa-IR"/>
        </w:rPr>
        <w:t xml:space="preserve">، ج 2، ص 656؛ </w:t>
      </w:r>
      <w:r>
        <w:rPr>
          <w:rtl w:val="0"/>
          <w:lang w:val="fa-IR"/>
        </w:rPr>
        <w:t xml:space="preserve">مجمع الزوائد</w:t>
      </w:r>
      <w:r>
        <w:rPr>
          <w:rtl w:val="0"/>
          <w:lang w:val="fa-IR"/>
        </w:rPr>
        <w:t xml:space="preserve">، ج 5، ص 190؛ </w:t>
      </w:r>
      <w:r>
        <w:rPr>
          <w:rtl w:val="0"/>
          <w:lang w:val="fa-IR"/>
        </w:rPr>
        <w:t xml:space="preserve">تحفة الأحوذی</w:t>
      </w:r>
      <w:r>
        <w:rPr>
          <w:rtl w:val="0"/>
          <w:lang w:val="fa-IR"/>
        </w:rPr>
        <w:t xml:space="preserve">، ج 6، ص 394؛ </w:t>
      </w:r>
      <w:r>
        <w:rPr>
          <w:rtl w:val="0"/>
          <w:lang w:val="fa-IR"/>
        </w:rPr>
        <w:t xml:space="preserve">أضواء علی السّنة المحمدیّة</w:t>
      </w:r>
      <w:r>
        <w:rPr>
          <w:rtl w:val="0"/>
          <w:lang w:val="fa-IR"/>
        </w:rPr>
        <w:t xml:space="preserve">، ص 234.</w:t>
      </w:r>
    </w:p>
  </w:footnote>
  <w:footnote w:id="9">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108، تعلیقه؛ </w:t>
      </w:r>
      <w:r>
        <w:rPr>
          <w:rtl w:val="0"/>
          <w:lang w:val="fa-IR"/>
        </w:rPr>
        <w:t xml:space="preserve">الفصول المختارة</w:t>
      </w:r>
      <w:r>
        <w:rPr>
          <w:rtl w:val="0"/>
          <w:lang w:val="fa-IR"/>
        </w:rPr>
        <w:t xml:space="preserve">، ص 324؛ </w:t>
      </w:r>
      <w:r>
        <w:rPr>
          <w:rtl w:val="0"/>
          <w:lang w:val="fa-IR"/>
        </w:rPr>
        <w:t xml:space="preserve">الغیبة</w:t>
      </w:r>
      <w:r>
        <w:rPr>
          <w:rtl w:val="0"/>
          <w:lang w:val="fa-IR"/>
        </w:rPr>
        <w:t xml:space="preserve">، شیخ طوسی، ص 82؛ </w:t>
      </w:r>
      <w:r>
        <w:rPr>
          <w:rtl w:val="0"/>
          <w:lang w:val="fa-IR"/>
        </w:rPr>
        <w:t xml:space="preserve">الخرائج و الجرائح</w:t>
      </w:r>
      <w:r>
        <w:rPr>
          <w:rtl w:val="0"/>
          <w:lang w:val="fa-IR"/>
        </w:rPr>
        <w:t xml:space="preserve">، ج 3، ص 1173؛ </w:t>
      </w:r>
      <w:r>
        <w:rPr>
          <w:rtl w:val="0"/>
          <w:lang w:val="fa-IR"/>
        </w:rPr>
        <w:t xml:space="preserve">أعیان الشیعة</w:t>
      </w:r>
      <w:r>
        <w:rPr>
          <w:rtl w:val="0"/>
          <w:lang w:val="fa-IR"/>
        </w:rPr>
        <w:t xml:space="preserve">، ج 2، ص 49؛ </w:t>
      </w:r>
      <w:r>
        <w:rPr>
          <w:rtl w:val="0"/>
          <w:lang w:val="fa-IR"/>
        </w:rPr>
        <w:t xml:space="preserve">آداب عصر الغیبة</w:t>
      </w:r>
      <w:r>
        <w:rPr>
          <w:rtl w:val="0"/>
          <w:lang w:val="fa-IR"/>
        </w:rPr>
        <w:t xml:space="preserve">، ص 8.</w:t>
      </w:r>
    </w:p>
  </w:footnote>
  <w:footnote w:id="10">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11، ص 380 ـ 382. (محقق)</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51 ـ 53.</w:t>
      </w:r>
    </w:p>
  </w:footnote>
  <w:footnote w:id="12">
    <w:p>
      <w:pPr>
        <w:pStyle w:val="FootnoteText"/>
      </w:pPr>
      <w:r>
        <w:rPr>
          <w:rStyle w:val="FootnoteReference"/>
        </w:rPr>
        <w:footnoteRef/>
      </w:r>
      <w:r>
        <w:t xml:space="preserve"> </w:t>
      </w:r>
      <w:r>
        <w:rPr>
          <w:rtl w:val="0"/>
          <w:lang w:val="fa-IR"/>
        </w:rPr>
        <w:t xml:space="preserve">الغیبة</w:t>
      </w:r>
      <w:r>
        <w:rPr>
          <w:rtl w:val="0"/>
          <w:lang w:val="fa-IR"/>
        </w:rPr>
        <w:t xml:space="preserve">، نعمانی، ص 136؛ </w:t>
      </w:r>
      <w:r>
        <w:rPr>
          <w:rtl w:val="0"/>
          <w:lang w:val="fa-IR"/>
        </w:rPr>
        <w:t xml:space="preserve">الخصال</w:t>
      </w:r>
      <w:r>
        <w:rPr>
          <w:rtl w:val="0"/>
          <w:lang w:val="fa-IR"/>
        </w:rPr>
        <w:t xml:space="preserve">، ج 2، ص 479.</w:t>
      </w:r>
    </w:p>
  </w:footnote>
  <w:footnote w:id="13">
    <w:p>
      <w:pPr>
        <w:pStyle w:val="FootnoteText"/>
      </w:pPr>
      <w:r>
        <w:rPr>
          <w:rStyle w:val="FootnoteReference"/>
        </w:rPr>
        <w:footnoteRef/>
      </w:r>
      <w:r>
        <w:t xml:space="preserve"> </w:t>
      </w:r>
      <w:r>
        <w:rPr>
          <w:rtl w:val="0"/>
          <w:lang w:val="fa-IR"/>
        </w:rPr>
        <w:t xml:space="preserve">دلائل الإمامة</w:t>
      </w:r>
      <w:r>
        <w:rPr>
          <w:rtl w:val="0"/>
          <w:lang w:val="fa-IR"/>
        </w:rPr>
        <w:t xml:space="preserve">، ص 436؛ </w:t>
      </w:r>
      <w:r>
        <w:rPr>
          <w:rtl w:val="0"/>
          <w:lang w:val="fa-IR"/>
        </w:rPr>
        <w:t xml:space="preserve">الاحتجاج</w:t>
      </w:r>
      <w:r>
        <w:rPr>
          <w:rtl w:val="0"/>
          <w:lang w:val="fa-IR"/>
        </w:rPr>
        <w:t xml:space="preserve">، طبرسی، ج 2، ص 317؛ </w:t>
      </w:r>
      <w:r>
        <w:rPr>
          <w:rtl w:val="0"/>
          <w:lang w:val="fa-IR"/>
        </w:rPr>
        <w:t xml:space="preserve">بحار الأنوار</w:t>
      </w:r>
      <w:r>
        <w:rPr>
          <w:rtl w:val="0"/>
          <w:lang w:val="fa-IR"/>
        </w:rPr>
        <w:t xml:space="preserve">، ج 57، ص 213. با قدری اختلاف در مصادر.</w:t>
      </w:r>
    </w:p>
  </w:footnote>
  <w:footnote w:id="14">
    <w:p>
      <w:pPr>
        <w:pStyle w:val="FootnoteText"/>
      </w:pPr>
      <w:r>
        <w:rPr>
          <w:rStyle w:val="FootnoteReference"/>
        </w:rPr>
        <w:footnoteRef/>
      </w:r>
      <w:r>
        <w:t xml:space="preserve"> </w:t>
      </w:r>
      <w:r>
        <w:rPr>
          <w:rtl w:val="0"/>
          <w:lang w:val="fa-IR"/>
        </w:rPr>
        <w:t xml:space="preserve">کمال الدین</w:t>
      </w:r>
      <w:r>
        <w:rPr>
          <w:rtl w:val="0"/>
          <w:lang w:val="fa-IR"/>
        </w:rPr>
        <w:t xml:space="preserve">، ج 2، ص 373:</w:t>
      </w:r>
    </w:p>
    <w:p>
      <w:pPr>
        <w:pStyle w:val="FootnoteText"/>
      </w:pPr>
      <w:r>
        <w:rPr>
          <w:rStyle w:val="Arabi"/>
          <w:rtl w:val="0"/>
          <w:lang w:val="fa-IR"/>
        </w:rPr>
        <w:t xml:space="preserve">«[قالَ علیُّ بنُ موسَی الرّضا عَلَیهِ السَّلام:]</w:t>
      </w:r>
      <w:r>
        <w:rPr>
          <w:rtl w:val="0"/>
          <w:lang w:val="fa-IR"/>
        </w:rPr>
        <w:t xml:space="preserve"> </w:t>
      </w:r>
      <w:r>
        <w:rPr>
          <w:rStyle w:val="RevayatArabi"/>
          <w:rtl w:val="0"/>
          <w:lang w:val="fa-IR"/>
        </w:rPr>
        <w:t xml:space="preserve">...فَقَد حَدَّثَنی أبِی عن أبیهِ عن آبائِهِ علیهِمُ السّلام: أنّ 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(7) آیه 187.</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15، ص 222 و 223؛ </w:t>
      </w:r>
      <w:r>
        <w:rPr>
          <w:rtl w:val="0"/>
          <w:lang w:val="fa-IR"/>
        </w:rPr>
        <w:t xml:space="preserve">الوافی بالوفیات</w:t>
      </w:r>
      <w:r>
        <w:rPr>
          <w:rtl w:val="0"/>
          <w:lang w:val="fa-IR"/>
        </w:rPr>
        <w:t xml:space="preserve">، ج 12، ص 226 و 227؛ </w:t>
      </w:r>
      <w:r>
        <w:rPr>
          <w:rtl w:val="0"/>
          <w:lang w:val="fa-IR"/>
        </w:rPr>
        <w:t xml:space="preserve">تاریخ الإسلام</w:t>
      </w:r>
      <w:r>
        <w:rPr>
          <w:rtl w:val="0"/>
          <w:lang w:val="fa-IR"/>
        </w:rPr>
        <w:t xml:space="preserve">، ذهبی، ج 24، ص 190؛ </w:t>
      </w:r>
      <w:r>
        <w:rPr>
          <w:rtl w:val="0"/>
          <w:lang w:val="fa-IR"/>
        </w:rPr>
        <w:t xml:space="preserve">لسان المیزان</w:t>
      </w:r>
      <w:r>
        <w:rPr>
          <w:rtl w:val="0"/>
          <w:lang w:val="fa-IR"/>
        </w:rPr>
        <w:t xml:space="preserve">، ج 2، ص 283.</w:t>
      </w:r>
    </w:p>
  </w:footnote>
  <w:footnote w:id="17">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248؛ </w:t>
      </w:r>
      <w:r>
        <w:rPr>
          <w:rtl w:val="0"/>
          <w:lang w:val="fa-IR"/>
        </w:rPr>
        <w:t xml:space="preserve">الغیبة</w:t>
      </w:r>
      <w:r>
        <w:rPr>
          <w:rtl w:val="0"/>
          <w:lang w:val="fa-IR"/>
        </w:rPr>
        <w:t xml:space="preserve">، شیخ طوسی، ص 223؛ </w:t>
      </w:r>
      <w:r>
        <w:rPr>
          <w:rtl w:val="0"/>
          <w:lang w:val="fa-IR"/>
        </w:rPr>
        <w:t xml:space="preserve">إعلام الوری</w:t>
      </w:r>
      <w:r>
        <w:rPr>
          <w:rtl w:val="0"/>
          <w:lang w:val="fa-IR"/>
        </w:rPr>
        <w:t xml:space="preserve">، ج 2، ص 140 ـ 142.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139 ـ 173.</w:t>
      </w:r>
    </w:p>
  </w:footnote>
  <w:footnote w:id="19">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495:</w:t>
      </w:r>
    </w:p>
    <w:p>
      <w:pPr>
        <w:pStyle w:val="FootnoteText"/>
      </w:pPr>
      <w:r>
        <w:rPr>
          <w:rtl w:val="0"/>
          <w:lang w:val="fa-IR"/>
        </w:rPr>
        <w:t xml:space="preserve">«سؤال:</w:t>
      </w:r>
      <w:r>
        <w:rPr>
          <w:rtl w:val="0"/>
          <w:lang w:val="fa-IR"/>
        </w:rPr>
        <w:t xml:space="preserve"> 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تبیین می‌شود در کنار هم؟</w:t>
      </w:r>
    </w:p>
    <w:p>
      <w:pPr>
        <w:pStyle w:val="FootnoteText"/>
      </w:pPr>
      <w:r>
        <w:rPr>
          <w:rtl w:val="0"/>
          <w:lang w:val="fa-IR"/>
        </w:rPr>
        <w:t xml:space="preserve">جواب:</w:t>
      </w:r>
      <w:r>
        <w:rPr>
          <w:rtl w:val="0"/>
          <w:lang w:val="fa-IR"/>
        </w:rPr>
        <w:t xml:space="preserve"> </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2، ص 454 ـ 783، (مجموعاً 100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2، ص 523 ـ 525؛ </w:t>
      </w:r>
      <w:r>
        <w:rPr>
          <w:rtl w:val="0"/>
          <w:lang w:val="fa-IR"/>
        </w:rPr>
        <w:t xml:space="preserve">کنز الفوائد</w:t>
      </w:r>
      <w:r>
        <w:rPr>
          <w:rtl w:val="0"/>
          <w:lang w:val="fa-IR"/>
        </w:rPr>
        <w:t xml:space="preserve">، ج 2، ص 117؛ </w:t>
      </w:r>
      <w:r>
        <w:rPr>
          <w:rtl w:val="0"/>
          <w:lang w:val="fa-IR"/>
        </w:rPr>
        <w:t xml:space="preserve">الغیبة</w:t>
      </w:r>
      <w:r>
        <w:rPr>
          <w:rtl w:val="0"/>
          <w:lang w:val="fa-IR"/>
        </w:rPr>
        <w:t xml:space="preserve">، شیخ طوسی، ص 112 ـ 125؛ </w:t>
      </w:r>
      <w:r>
        <w:rPr>
          <w:rtl w:val="0"/>
          <w:lang w:val="fa-IR"/>
        </w:rPr>
        <w:t xml:space="preserve">بحار الأنوار</w:t>
      </w:r>
      <w:r>
        <w:rPr>
          <w:rtl w:val="0"/>
          <w:lang w:val="fa-IR"/>
        </w:rPr>
        <w:t xml:space="preserve">، ج 51، ص 225 ـ 293.</w:t>
      </w:r>
    </w:p>
  </w:footnote>
  <w:footnote w:id="20">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عسکری.</w:t>
      </w:r>
    </w:p>
  </w:footnote>
  <w:footnote w:id="21">
    <w:p>
      <w:pPr>
        <w:pStyle w:val="FootnoteText"/>
      </w:pPr>
      <w:r>
        <w:rPr>
          <w:rStyle w:val="FootnoteReference"/>
        </w:rPr>
        <w:footnoteRef/>
      </w:r>
      <w:r>
        <w:t xml:space="preserve"> </w:t>
      </w:r>
      <w:r>
        <w:rPr>
          <w:rtl w:val="0"/>
          <w:lang w:val="fa-IR"/>
        </w:rPr>
        <w:t xml:space="preserve">تلمیذ:</w:t>
      </w:r>
      <w:r>
        <w:rPr>
          <w:rtl w:val="0"/>
          <w:lang w:val="fa-IR"/>
        </w:rPr>
        <w:t xml:space="preserve"> مثل‌اینکه نجم‌الدّین برادر علامه سید مرتضی عسکری است، درست است؟</w:t>
      </w:r>
    </w:p>
    <w:p>
      <w:pPr>
        <w:pStyle w:val="FootnoteText"/>
      </w:pPr>
      <w:r>
        <w:rPr>
          <w:rtl w:val="0"/>
          <w:lang w:val="fa-IR"/>
        </w:rPr>
        <w:t xml:space="preserve">استاد:</w:t>
      </w:r>
      <w:r>
        <w:rPr>
          <w:rtl w:val="0"/>
          <w:lang w:val="fa-IR"/>
        </w:rPr>
        <w:t xml:space="preserve"> نه‌خیر، او «شیخ» نجم‌الدّین عسکری است. ایشان هم خیلی مرد متتبّعی بوده و کتاب‌های زیادی هم تألیف کرده است. ایشان در سامرّا بود و به کاظمین آمد و بعد فوت کرد. البته ظاهراً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w:t>
      </w:r>
      <w:r>
        <w:rPr>
          <w:rtl w:val="0"/>
          <w:lang w:val="fa-IR"/>
        </w:rPr>
        <w:t xml:space="preserve"> با شما هم قوم و خویشی دارند؟</w:t>
      </w:r>
    </w:p>
    <w:p>
      <w:pPr>
        <w:pStyle w:val="FootnoteText"/>
      </w:pPr>
      <w:r>
        <w:rPr>
          <w:rtl w:val="0"/>
          <w:lang w:val="fa-IR"/>
        </w:rPr>
        <w:t xml:space="preserve">استاد:</w:t>
      </w:r>
      <w:r>
        <w:rPr>
          <w:rtl w:val="0"/>
          <w:lang w:val="fa-IR"/>
        </w:rPr>
        <w:t xml:space="preserve"> 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w:t>
      </w:r>
      <w:r>
        <w:rPr>
          <w:rtl w:val="0"/>
          <w:lang w:val="fa-IR"/>
        </w:rPr>
        <w:t xml:space="preserve"> به‌خاطر همین هم عسکری می‌گویند؟</w:t>
      </w:r>
    </w:p>
    <w:p>
      <w:pPr>
        <w:pStyle w:val="FootnoteText"/>
      </w:pPr>
      <w:r>
        <w:rPr>
          <w:rtl w:val="0"/>
          <w:lang w:val="fa-IR"/>
        </w:rPr>
        <w:t xml:space="preserve">استاد:</w:t>
      </w:r>
      <w:r>
        <w:rPr>
          <w:rtl w:val="0"/>
          <w:lang w:val="fa-IR"/>
        </w:rPr>
        <w:t xml:space="preserve"> 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1، ص 268، تعلیقه 3 و ج 13، ص 171، تعلیقه؛ </w:t>
      </w:r>
      <w:r>
        <w:rPr>
          <w:rtl w:val="0"/>
          <w:lang w:val="fa-IR"/>
        </w:rPr>
        <w:t xml:space="preserve">مطلع انوار</w:t>
      </w:r>
      <w:r>
        <w:rPr>
          <w:rtl w:val="0"/>
          <w:lang w:val="fa-IR"/>
        </w:rPr>
        <w:t xml:space="preserve">، ج 1، ص 53.</w:t>
      </w:r>
    </w:p>
    <w:p>
      <w:pPr>
        <w:pStyle w:val="FootnoteText"/>
      </w:pPr>
      <w:r>
        <w:rPr>
          <w:rtl w:val="0"/>
          <w:lang w:val="fa-IR"/>
        </w:rPr>
        <w:t xml:space="preserve">** رجوع شود به </w:t>
      </w:r>
      <w:r>
        <w:rPr>
          <w:rtl w:val="0"/>
          <w:lang w:val="fa-IR"/>
        </w:rPr>
        <w:t xml:space="preserve">روح مجرّد</w:t>
      </w:r>
      <w:r>
        <w:rPr>
          <w:rtl w:val="0"/>
          <w:lang w:val="fa-IR"/>
        </w:rPr>
        <w:t xml:space="preserve">، ص 38.</w:t>
      </w:r>
    </w:p>
  </w:footnote>
  <w:footnote w:id="22">
    <w:p>
      <w:pPr>
        <w:pStyle w:val="FootnoteText"/>
      </w:pPr>
      <w:r>
        <w:rPr>
          <w:rStyle w:val="FootnoteReference"/>
        </w:rPr>
        <w:footnoteRef/>
      </w:r>
      <w:r>
        <w:t xml:space="preserve"> </w:t>
      </w:r>
      <w:r>
        <w:rPr>
          <w:rtl w:val="0"/>
          <w:lang w:val="fa-IR"/>
        </w:rPr>
        <w:t xml:space="preserve">المهدیّ</w:t>
      </w:r>
      <w:r>
        <w:rPr>
          <w:rtl w:val="0"/>
          <w:lang w:val="fa-IR"/>
        </w:rPr>
        <w:t xml:space="preserve"> عجّل الله فرجه، سید صدرالدّین صدر عاملی.</w:t>
      </w:r>
    </w:p>
  </w:footnote>
  <w:footnote w:id="23">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386 و 399.</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2، ص 28؛ </w:t>
      </w:r>
      <w:r>
        <w:rPr>
          <w:rtl w:val="0"/>
          <w:lang w:val="fa-IR"/>
        </w:rPr>
        <w:t xml:space="preserve">مسند أحمد</w:t>
      </w:r>
      <w:r>
        <w:rPr>
          <w:rtl w:val="0"/>
          <w:lang w:val="fa-IR"/>
        </w:rPr>
        <w:t xml:space="preserve">، ج 1، ص 376؛ </w:t>
      </w:r>
      <w:r>
        <w:rPr>
          <w:rtl w:val="0"/>
          <w:lang w:val="fa-IR"/>
        </w:rPr>
        <w:t xml:space="preserve">صحیح ابن‌حبان</w:t>
      </w:r>
      <w:r>
        <w:rPr>
          <w:rtl w:val="0"/>
          <w:lang w:val="fa-IR"/>
        </w:rPr>
        <w:t xml:space="preserve">، ج 15، ص 238؛ </w:t>
      </w:r>
      <w:r>
        <w:rPr>
          <w:rtl w:val="0"/>
          <w:lang w:val="fa-IR"/>
        </w:rPr>
        <w:t xml:space="preserve">المعجم الکبیر</w:t>
      </w:r>
      <w:r>
        <w:rPr>
          <w:rtl w:val="0"/>
          <w:lang w:val="fa-IR"/>
        </w:rPr>
        <w:t xml:space="preserve">، طبرانی، ج 10، ص 137.</w:t>
      </w:r>
    </w:p>
  </w:footnote>
  <w:footnote w:id="24">
    <w:p>
      <w:pPr>
        <w:pStyle w:val="FootnoteText"/>
      </w:pPr>
      <w:r>
        <w:rPr>
          <w:rStyle w:val="FootnoteReference"/>
        </w:rPr>
        <w:footnoteRef/>
      </w:r>
      <w:r>
        <w:t xml:space="preserve"> </w:t>
      </w:r>
      <w:r>
        <w:rPr>
          <w:rtl w:val="0"/>
          <w:lang w:val="fa-IR"/>
        </w:rPr>
        <w:t xml:space="preserve">اتومبیل. (محقق)</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26">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2، ص 214؛ </w:t>
      </w:r>
      <w:r>
        <w:rPr>
          <w:rtl w:val="0"/>
          <w:lang w:val="fa-IR"/>
        </w:rPr>
        <w:t xml:space="preserve">تاریخ الطبری</w:t>
      </w:r>
      <w:r>
        <w:rPr>
          <w:rtl w:val="0"/>
          <w:lang w:val="fa-IR"/>
        </w:rPr>
        <w:t xml:space="preserve">، ج 2، ص 564. (محقق)</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6، ص 295 ـ 316.</w:t>
      </w:r>
    </w:p>
  </w:footnote>
  <w:footnote w:id="2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303 ـ 308.</w:t>
      </w:r>
    </w:p>
  </w:footnote>
  <w:footnote w:id="29">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211:</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و بالا خیر، آن کار هر کسی نیست و فقط یک عدۀ خاصّی هستند [که می‌توانند از عهدۀ آن برآیند]؛ آن [مراحل عالی] حتی در رجعت هم همین‌طور است. ولی نسبت به [ترک] گناه، این‌طورکه از روایات برمی‌آید (رجوع شود به </w:t>
      </w:r>
      <w:r>
        <w:rPr>
          <w:rtl w:val="0"/>
          <w:lang w:val="fa-IR"/>
        </w:rPr>
        <w:t xml:space="preserve">مختصر البصائر</w:t>
      </w:r>
      <w:r>
        <w:rPr>
          <w:rtl w:val="0"/>
          <w:lang w:val="fa-IR"/>
        </w:rPr>
        <w:t xml:space="preserve">، ص 116)،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بیشتر(رجوع شود به </w:t>
      </w:r>
      <w:r>
        <w:rPr>
          <w:rtl w:val="0"/>
          <w:lang w:val="fa-IR"/>
        </w:rPr>
        <w:t xml:space="preserve">الغیبة</w:t>
      </w:r>
      <w:r>
        <w:rPr>
          <w:rtl w:val="0"/>
          <w:lang w:val="fa-IR"/>
        </w:rPr>
        <w:t xml:space="preserve">، نعمانی، ص 331 و 332؛ </w:t>
      </w:r>
      <w:r>
        <w:rPr>
          <w:rtl w:val="0"/>
          <w:lang w:val="fa-IR"/>
        </w:rPr>
        <w:t xml:space="preserve">الغیبة</w:t>
      </w:r>
      <w:r>
        <w:rPr>
          <w:rtl w:val="0"/>
          <w:lang w:val="fa-IR"/>
        </w:rPr>
        <w:t xml:space="preserve">، شیخ طوسی، ص 474؛ </w:t>
      </w:r>
      <w:r>
        <w:rPr>
          <w:rtl w:val="0"/>
          <w:lang w:val="fa-IR"/>
        </w:rPr>
        <w:t xml:space="preserve">کشف الغمّة</w:t>
      </w:r>
      <w:r>
        <w:rPr>
          <w:rtl w:val="0"/>
          <w:lang w:val="fa-IR"/>
        </w:rPr>
        <w:t xml:space="preserve">، ج 2، ص 467 و 468 و 478) ـ از دنیا می‌روند(رجوع شود به </w:t>
      </w:r>
      <w:r>
        <w:rPr>
          <w:rtl w:val="0"/>
          <w:lang w:val="fa-IR"/>
        </w:rPr>
        <w:t xml:space="preserve">الکافی</w:t>
      </w:r>
      <w:r>
        <w:rPr>
          <w:rtl w:val="0"/>
          <w:lang w:val="fa-IR"/>
        </w:rPr>
        <w:t xml:space="preserve">، ج 8، ص 206؛ </w:t>
      </w:r>
      <w:r>
        <w:rPr>
          <w:rtl w:val="0"/>
          <w:lang w:val="fa-IR"/>
        </w:rPr>
        <w:t xml:space="preserve">کشف الغمّة</w:t>
      </w:r>
      <w:r>
        <w:rPr>
          <w:rtl w:val="0"/>
          <w:lang w:val="fa-IR"/>
        </w:rPr>
        <w:t xml:space="preserve">، ج 2، ص 479؛ </w:t>
      </w:r>
      <w:r>
        <w:rPr>
          <w:rtl w:val="0"/>
          <w:lang w:val="fa-IR"/>
        </w:rPr>
        <w:t xml:space="preserve">مختصر البصائر</w:t>
      </w:r>
      <w:r>
        <w:rPr>
          <w:rtl w:val="0"/>
          <w:lang w:val="fa-IR"/>
        </w:rPr>
        <w:t xml:space="preserve">، ص 165)، و بعد خود فرزندان آن حضرت حکومت را ادامه می‌دهند.( رجوع شود به </w:t>
      </w:r>
      <w:r>
        <w:rPr>
          <w:rtl w:val="0"/>
          <w:lang w:val="fa-IR"/>
        </w:rPr>
        <w:t xml:space="preserve">کمال الدّین</w:t>
      </w:r>
      <w:r>
        <w:rPr>
          <w:rtl w:val="0"/>
          <w:lang w:val="fa-IR"/>
        </w:rPr>
        <w:t xml:space="preserve">، ج 2، ص 358؛ </w:t>
      </w:r>
      <w:r>
        <w:rPr>
          <w:rtl w:val="0"/>
          <w:lang w:val="fa-IR"/>
        </w:rPr>
        <w:t xml:space="preserve">الغیبة</w:t>
      </w:r>
      <w:r>
        <w:rPr>
          <w:rtl w:val="0"/>
          <w:lang w:val="fa-IR"/>
        </w:rPr>
        <w:t xml:space="preserve">، شیخ طوسی، ص 150 و 151 و 280؛ </w:t>
      </w:r>
      <w:r>
        <w:rPr>
          <w:rtl w:val="0"/>
          <w:lang w:val="fa-IR"/>
        </w:rPr>
        <w:t xml:space="preserve">بحار الأنوار</w:t>
      </w:r>
      <w:r>
        <w:rPr>
          <w:rtl w:val="0"/>
          <w:lang w:val="fa-IR"/>
        </w:rPr>
        <w:t xml:space="preserve">، ج 53، ص 145 ـ 148)</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نه(رجوع شود به </w:t>
      </w:r>
      <w:r>
        <w:rPr>
          <w:rtl w:val="0"/>
          <w:lang w:val="fa-IR"/>
        </w:rPr>
        <w:t xml:space="preserve">بحار الأنور</w:t>
      </w:r>
      <w:r>
        <w:rPr>
          <w:rtl w:val="0"/>
          <w:lang w:val="fa-IR"/>
        </w:rPr>
        <w:t xml:space="preserve">، ج 53، ص 39 ـ 144)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tl w:val="0"/>
          <w:lang w:val="fa-IR"/>
        </w:rPr>
        <w:t xml:space="preserve"> (</w:t>
      </w:r>
      <w:r>
        <w:rPr>
          <w:rtl w:val="0"/>
          <w:lang w:val="fa-IR"/>
        </w:rPr>
        <w:t xml:space="preserve">الکافی</w:t>
      </w:r>
      <w:r>
        <w:rPr>
          <w:rtl w:val="0"/>
          <w:lang w:val="fa-IR"/>
        </w:rPr>
        <w:t xml:space="preserve">، ج 1، ص 341: </w:t>
      </w:r>
      <w:r>
        <w:rPr>
          <w:rStyle w:val="RevayatArabi"/>
          <w:bCs/>
          <w:rtl/>
          <w:lang w:val="fa-IR"/>
        </w:rPr>
        <w:t xml:space="preserve">«... یَملَأُها عَدلاً کَما مُلِئَتْ ظُلماً و جَوراً... »</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r>
    </w:p>
    <w:p>
      <w:pPr>
        <w:pStyle w:val="FootnoteText"/>
      </w:pP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footnote>
  <w:footnote w:id="3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25:</w:t>
      </w:r>
    </w:p>
    <w:p>
      <w:pPr>
        <w:pStyle w:val="FootnoteText"/>
      </w:pPr>
      <w:r>
        <w:rPr>
          <w:rtl w:val="0"/>
          <w:lang w:val="fa-IR"/>
        </w:rPr>
        <w:t xml:space="preserve">«سؤال:</w:t>
      </w:r>
      <w:r>
        <w:rPr>
          <w:rtl w:val="0"/>
          <w:lang w:val="fa-IR"/>
        </w:rPr>
        <w:t xml:space="preserve"> یا هو، رجعت چیست؟</w:t>
      </w:r>
    </w:p>
    <w:p>
      <w:pPr>
        <w:pStyle w:val="FootnoteText"/>
      </w:pPr>
      <w:r>
        <w:rPr>
          <w:rtl w:val="0"/>
          <w:lang w:val="fa-IR"/>
        </w:rPr>
        <w:t xml:space="preserve">جواب:</w:t>
      </w:r>
      <w:r>
        <w:rPr>
          <w:rtl w:val="0"/>
          <w:lang w:val="fa-IR"/>
        </w:rPr>
        <w:t xml:space="preserve"> 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53، ص 39 ـ 144.</w:t>
      </w:r>
    </w:p>
  </w:footnote>
  <w:footnote w:id="31">
    <w:p>
      <w:pPr>
        <w:pStyle w:val="FootnoteText"/>
      </w:pPr>
      <w:r>
        <w:rPr>
          <w:rStyle w:val="FootnoteReference"/>
        </w:rPr>
        <w:footnoteRef/>
      </w:r>
      <w: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333 ـ 335.</w:t>
      </w:r>
    </w:p>
  </w:footnote>
  <w:footnote w:id="33">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2، ص 209 ـ 212.</w:t>
      </w:r>
    </w:p>
  </w:footnote>
  <w:footnote w:id="3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24:</w:t>
      </w:r>
    </w:p>
    <w:p>
      <w:pPr>
        <w:pStyle w:val="FootnoteText"/>
      </w:pPr>
      <w:r>
        <w:rPr>
          <w:rtl w:val="0"/>
          <w:lang w:val="fa-IR"/>
        </w:rPr>
        <w:t xml:space="preserve">«سؤال:</w:t>
      </w:r>
      <w:r>
        <w:rPr>
          <w:rtl w:val="0"/>
          <w:lang w:val="fa-IR"/>
        </w:rPr>
        <w:t xml:space="preserve"> 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w:t>
      </w:r>
      <w:r>
        <w:rPr>
          <w:rtl w:val="0"/>
          <w:lang w:val="fa-IR"/>
        </w:rPr>
        <w:t xml:space="preserve"> 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w:t>
      </w:r>
      <w:r>
        <w:rPr>
          <w:rtl w:val="0"/>
          <w:lang w:val="fa-IR"/>
        </w:rPr>
        <w:t xml:space="preserve"> براساس سلسلۀ مراتب طولی چگونه می‌شود که در یک زمان چند ولیّ خدا وجود داشته باشد؟</w:t>
      </w:r>
    </w:p>
    <w:p>
      <w:pPr>
        <w:pStyle w:val="FootnoteText"/>
      </w:pPr>
      <w:r>
        <w:rPr>
          <w:rtl w:val="0"/>
          <w:lang w:val="fa-IR"/>
        </w:rPr>
        <w:t xml:space="preserve">جواب:</w:t>
      </w:r>
      <w:r>
        <w:rPr>
          <w:rtl w:val="0"/>
          <w:lang w:val="fa-IR"/>
        </w:rPr>
        <w:t xml:space="preserve"> 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Style w:val="RevayatArabi"/>
          <w:rtl w:val="0"/>
          <w:lang w:val="fa-IR"/>
        </w:rPr>
        <w:t xml:space="preserve"> </w:t>
      </w:r>
      <w:r>
        <w:rPr>
          <w:rtl w:val="0"/>
          <w:lang w:val="fa-IR"/>
        </w:rPr>
        <w:t xml:space="preserve">یا:</w:t>
      </w:r>
      <w:r>
        <w:rPr>
          <w:rStyle w:val="RevayatArabi"/>
          <w:rtl w:val="0"/>
          <w:lang w:val="fa-IR"/>
        </w:rPr>
        <w:t xml:space="preserve">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w:t>
      </w:r>
      <w:r>
        <w:rPr>
          <w:rtl w:val="0"/>
          <w:lang w:val="fa-IR"/>
        </w:rPr>
        <w:t xml:space="preserve"> نحوۀ ارتباط ولیّ خدا با امام زمان چگونه است؟</w:t>
      </w:r>
    </w:p>
    <w:p>
      <w:pPr>
        <w:pStyle w:val="FootnoteText"/>
      </w:pPr>
      <w:r>
        <w:rPr>
          <w:rtl w:val="0"/>
          <w:lang w:val="fa-IR"/>
        </w:rPr>
        <w:t xml:space="preserve">جواب:</w:t>
      </w:r>
      <w:r>
        <w:rPr>
          <w:rtl w:val="0"/>
          <w:lang w:val="fa-IR"/>
        </w:rPr>
        <w:t xml:space="preserve"> 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و به 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آن کسی که به مقام ولایت رسیده و تمام مراتب طولی را طی کرده و بقاء پیدا کرده است، تمام مطالب و کلامی را که می‌گوید عین کلامی است که امام علیه السّلام می‌گویند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8 و 95 و 121.</w:t>
      </w:r>
    </w:p>
    <w:p>
      <w:pPr>
        <w:pStyle w:val="FootnoteText"/>
      </w:pPr>
      <w:r>
        <w:rPr>
          <w:rtl w:val="0"/>
          <w:lang w:val="fa-IR"/>
        </w:rPr>
        <w:t xml:space="preserve">** </w:t>
      </w:r>
      <w:r>
        <w:rPr>
          <w:rtl w:val="0"/>
          <w:lang w:val="fa-IR"/>
        </w:rPr>
        <w:t xml:space="preserve">الله شناسی</w:t>
      </w:r>
      <w:r>
        <w:rPr>
          <w:rtl w:val="0"/>
          <w:lang w:val="fa-IR"/>
        </w:rPr>
        <w:t xml:space="preserve">، ج 1، ص 212:</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10:</w:t>
      </w:r>
    </w:p>
    <w:p>
      <w:pPr>
        <w:pStyle w:val="FootnoteText"/>
      </w:pPr>
      <w:r>
        <w:rPr>
          <w:rtl w:val="0"/>
          <w:lang w:val="fa-IR"/>
        </w:rPr>
        <w:t xml:space="preserve">«سؤال:</w:t>
      </w:r>
      <w:r>
        <w:rPr>
          <w:rtl w:val="0"/>
          <w:lang w:val="fa-IR"/>
        </w:rPr>
        <w:t xml:space="preserve"> 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w:t>
      </w:r>
      <w:r>
        <w:rPr>
          <w:rtl w:val="0"/>
          <w:lang w:val="fa-IR"/>
        </w:rPr>
        <w:t xml:space="preserve"> 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284 ـ 290؛ </w:t>
      </w:r>
      <w:r>
        <w:rPr>
          <w:rtl w:val="0"/>
          <w:lang w:val="fa-IR"/>
        </w:rPr>
        <w:t xml:space="preserve">سیره صالحان</w:t>
      </w:r>
      <w:r>
        <w:rPr>
          <w:rtl w:val="0"/>
          <w:lang w:val="fa-IR"/>
        </w:rPr>
        <w:t xml:space="preserve">، ص 486؛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432، تعلیقه 2 و </w:t>
      </w:r>
      <w:r>
        <w:rPr>
          <w:rtl w:val="0"/>
          <w:lang w:val="fa-IR"/>
        </w:rPr>
        <w:t xml:space="preserve">متن جلسات پرسش و پاسخ</w:t>
      </w:r>
      <w:r>
        <w:rPr>
          <w:rtl w:val="0"/>
          <w:lang w:val="fa-IR"/>
        </w:rPr>
        <w:t xml:space="preserve">، ص 564 ـ 566.</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39؛ </w:t>
      </w:r>
      <w:r>
        <w:rPr>
          <w:rtl w:val="0"/>
          <w:lang w:val="fa-IR"/>
        </w:rPr>
        <w:t xml:space="preserve">الأمالی</w:t>
      </w:r>
      <w:r>
        <w:rPr>
          <w:rtl w:val="0"/>
          <w:lang w:val="fa-IR"/>
        </w:rPr>
        <w:t xml:space="preserve">، شیخ صدوق، ص 169:</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9">
    <w:p>
      <w:pPr>
        <w:pStyle w:val="FootnoteText"/>
      </w:pPr>
      <w:r>
        <w:rPr>
          <w:rStyle w:val="FootnoteReference"/>
        </w:rPr>
        <w:footnoteRef/>
      </w:r>
      <w:r>
        <w:t xml:space="preserve"> </w:t>
      </w:r>
      <w:r>
        <w:rPr>
          <w:rtl w:val="0"/>
          <w:lang w:val="fa-IR"/>
        </w:rPr>
        <w:t xml:space="preserve">الغیبة</w:t>
      </w:r>
      <w:r>
        <w:rPr>
          <w:rtl w:val="0"/>
          <w:lang w:val="fa-IR"/>
        </w:rPr>
        <w:t xml:space="preserve">، نعمانی، ص 86.</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4، ص 568.</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268؛ </w:t>
      </w:r>
      <w:r>
        <w:rPr>
          <w:rtl w:val="0"/>
          <w:lang w:val="fa-IR"/>
        </w:rPr>
        <w:t xml:space="preserve">الغیبة</w:t>
      </w:r>
      <w:r>
        <w:rPr>
          <w:rtl w:val="0"/>
          <w:lang w:val="fa-IR"/>
        </w:rPr>
        <w:t xml:space="preserve">، نعمانی، ص 102؛ </w:t>
      </w:r>
      <w:r>
        <w:rPr>
          <w:rtl w:val="0"/>
          <w:lang w:val="fa-IR"/>
        </w:rPr>
        <w:t xml:space="preserve">مقتضب الأثر</w:t>
      </w:r>
      <w:r>
        <w:rPr>
          <w:rtl w:val="0"/>
          <w:lang w:val="fa-IR"/>
        </w:rPr>
        <w:t xml:space="preserve">، ص 9 و 10.</w:t>
      </w:r>
    </w:p>
  </w:footnote>
  <w:footnote w:id="4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734:</w:t>
      </w:r>
    </w:p>
    <w:p>
      <w:pPr>
        <w:pStyle w:val="FootnoteText"/>
      </w:pPr>
      <w:r>
        <w:rPr>
          <w:rtl w:val="0"/>
          <w:lang w:val="fa-IR"/>
        </w:rPr>
        <w:t xml:space="preserve">«تلمیذ:</w:t>
      </w:r>
      <w:r>
        <w:rPr>
          <w:rtl w:val="0"/>
          <w:lang w:val="fa-IR"/>
        </w:rPr>
        <w:t xml:space="preserve"> این مسئله مربوط به چیست؟</w:t>
      </w:r>
    </w:p>
    <w:p>
      <w:pPr>
        <w:pStyle w:val="FootnoteText"/>
      </w:pPr>
      <w:r>
        <w:rPr>
          <w:rtl w:val="0"/>
          <w:lang w:val="fa-IR"/>
        </w:rPr>
        <w:t xml:space="preserve">استاد:</w:t>
      </w:r>
      <w:r>
        <w:rPr>
          <w:rtl w:val="0"/>
          <w:lang w:val="fa-IR"/>
        </w:rPr>
        <w:t xml:space="preserve"> این قضیه مربوط به سعۀ وجودی نسبت به کیفیت ارتباط حضرت و مسائلی است که بایست تحقق پیدا کند؛ مربوط به ظرفیّت، تحمل، صبر و خصوصیّاتی است که لازمۀ اداره و تدبیر حضرت با آن حیثیّت ارتباط حضرت است. این‌طور به‌نظر می‌رسد و من این‌طور تصور می‌کنم. اگر چیز دیگری باشد، بنده خبری ندارم.</w:t>
      </w:r>
    </w:p>
    <w:p>
      <w:pPr>
        <w:pStyle w:val="FootnoteText"/>
      </w:pPr>
      <w:r>
        <w:rPr>
          <w:rtl w:val="0"/>
          <w:lang w:val="fa-IR"/>
        </w:rPr>
        <w:t xml:space="preserve">مسئلۀ ظهور، یک قضیه‌ای است که یک‌هم‌چنین سعه‌ای را می‌طلبد و یک‌هم‌چنین ظرفیّتی را اقتضا می‌کند. این موقعیت و سعه و ظرفیّت و خصوصیّت به همان ادارۀ ارتباطات و مسائل برمی‌گردد و شاید در سایر ائمه به این نحو و به این کیفیت نباشد. باید یک توان دیگری را بطلبد؛ هم از نظر ظاهری و جسمی، و هم از نظر سعۀ نفسانی و... .</w:t>
      </w:r>
    </w:p>
    <w:p>
      <w:pPr>
        <w:pStyle w:val="FootnoteText"/>
      </w:pPr>
      <w:r>
        <w:rPr>
          <w:rtl w:val="0"/>
          <w:lang w:val="fa-IR"/>
        </w:rPr>
        <w:t xml:space="preserve">تلمیذ:</w:t>
      </w:r>
      <w:r>
        <w:rPr>
          <w:rtl w:val="0"/>
          <w:lang w:val="fa-IR"/>
        </w:rPr>
        <w:t xml:space="preserve"> یعنی ظهور آن‌قدر تأثیر دارد که نفس امام باید در شرایطی باشد که بتواند قضیۀ تدبیر عالم را اجرا کند؟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یعنی امام‌های دیگر ممکن است این توانایی را نداشته باشند؟</w:t>
      </w:r>
    </w:p>
    <w:p>
      <w:pPr>
        <w:pStyle w:val="FootnoteText"/>
      </w:pPr>
      <w:r>
        <w:rPr>
          <w:rtl w:val="0"/>
          <w:lang w:val="fa-IR"/>
        </w:rPr>
        <w:t xml:space="preserve">استاد:</w:t>
      </w:r>
      <w:r>
        <w:rPr>
          <w:rtl w:val="0"/>
          <w:lang w:val="fa-IR"/>
        </w:rPr>
        <w:t xml:space="preserve"> ببینید، ما نمی‌خواهیم بگوییم توانایی ندارند! امام بالأخره امام است و بر همۀ مُلک و ملکوت مسلّط و حاکم است؛ اما اینکه در نفس خودِ امام چه می‌گذرد، ما این را نمی‌دانیم. نمی‌دانیم که در خودش و در ذات خودش دارد چه می‌گذرد. آنچه که ما می‌بینیم، یک آثاری است: امام این کار را می‌کند، این خبر را می‌گوید، این مسئله را مطرح می‌کند؛ اما اینکه الآن در خود امام و در نفس و ذات امام چه مسائلی هست، ما خبر نداریم.</w:t>
      </w:r>
    </w:p>
    <w:p>
      <w:pPr>
        <w:pStyle w:val="FootnoteText"/>
      </w:pPr>
      <w:r>
        <w:rPr>
          <w:rtl w:val="0"/>
          <w:lang w:val="fa-IR"/>
        </w:rPr>
        <w:t xml:space="preserve">تلمیذ:</w:t>
      </w:r>
      <w:r>
        <w:rPr>
          <w:rtl w:val="0"/>
          <w:lang w:val="fa-IR"/>
        </w:rPr>
        <w:t xml:space="preserve"> اینکه [به امام زمان علیه السّلام] اطلاق بقیّة‌الله می‌شود، به‌خاطر همین جنبه است که دیگرْ مظاهر الهی از انبیاء و ائمه نداشتند؟</w:t>
      </w:r>
    </w:p>
    <w:p>
      <w:pPr>
        <w:pStyle w:val="FootnoteText"/>
      </w:pPr>
      <w:r>
        <w:rPr>
          <w:rtl w:val="0"/>
          <w:lang w:val="fa-IR"/>
        </w:rPr>
        <w:t xml:space="preserve">استاد: نه‌اینکه نداشتند! البته بله، انبیاء نداشتند.</w:t>
      </w:r>
    </w:p>
    <w:p>
      <w:pPr>
        <w:pStyle w:val="FootnoteText"/>
      </w:pPr>
      <w:r>
        <w:rPr>
          <w:rtl w:val="0"/>
          <w:lang w:val="fa-IR"/>
        </w:rPr>
        <w:t xml:space="preserve">تلمیذ:</w:t>
      </w:r>
      <w:r>
        <w:rPr>
          <w:rtl w:val="0"/>
          <w:lang w:val="fa-IR"/>
        </w:rPr>
        <w:t xml:space="preserve"> پس راجع به قضیۀ حضرت شعیب که می‌گوید: </w:t>
      </w:r>
      <w:r>
        <w:rPr>
          <w:rtl w:val="0"/>
          <w:lang w:val="fa-IR"/>
        </w:rPr>
        <w:t xml:space="preserve">﴿بَقِيَّتُ ٱللَهِ خَيۡرٞ لَّكُمۡ﴾</w:t>
      </w:r>
      <w:r>
        <w:rPr>
          <w:rtl w:val="0"/>
          <w:lang w:val="fa-IR"/>
        </w:rPr>
        <w:t xml:space="preserve">؛</w:t>
      </w:r>
      <w:r>
        <w:rPr>
          <w:rStyle w:val="FootnoteReference"/>
          <w:rtl w:val="0"/>
          <w:lang w:val="fa-IR"/>
        </w:rPr>
        <w:t xml:space="preserve">*</w:t>
      </w:r>
      <w:r>
        <w:rPr>
          <w:rtl w:val="0"/>
          <w:lang w:val="fa-IR"/>
        </w:rPr>
        <w:t xml:space="preserve"> آن منظور نیست؟</w:t>
      </w:r>
    </w:p>
    <w:p>
      <w:pPr>
        <w:pStyle w:val="FootnoteText"/>
      </w:pPr>
      <w:r>
        <w:rPr>
          <w:rtl w:val="0"/>
          <w:lang w:val="fa-IR"/>
        </w:rPr>
        <w:t xml:space="preserve">استاد:</w:t>
      </w:r>
      <w:r>
        <w:rPr>
          <w:rtl w:val="0"/>
          <w:lang w:val="fa-IR"/>
        </w:rPr>
        <w:t xml:space="preserve"> نه‌خیر. قضیه و مسئلۀ ظهور یک چیزی نیست که فقط ظهورِ خاصّ خارجی و تعیین حاکم و استاندار و فرماندار و رتق و فتق باشد، بلکه اصلاً به‌طور کلی این ظهور در تمام ملک و ملکوت پیدا می‌شود؛ حتی قضیه در ملکوت هست! مسئله فقط یک رتق و فتق عادی نیست.»</w:t>
      </w:r>
    </w:p>
    <w:p>
      <w:pPr>
        <w:pStyle w:val="FootnoteText"/>
      </w:pPr>
      <w:r>
        <w:rPr>
          <w:rtl w:val="0"/>
          <w:lang w:val="fa-IR"/>
        </w:rPr>
        <w:t xml:space="preserve">* سوره هود (11) آیه 86.</w:t>
      </w:r>
    </w:p>
  </w:footnote>
  <w:footnote w:id="43">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10»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