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hint="cs"/>
          <w:rtl/>
          <w:lang w:bidi="fa-IR"/>
        </w:rPr>
      </w:pPr>
      <w:bookmarkStart w:id="0" w:name="_GoBack"/>
      <w:bookmarkEnd w:id="0"/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شفا دادن حضرت رضا عليه السّلام زن حامله در آستان مرگ را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حضرت علامه آیة اللَه حاج سید محمد حسین حسینی طهرانی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مطلع انوار، جلد 1</w:t>
      </w:r>
    </w:p>
    <w:p>
      <w:pPr/>
      <w:r>
        <w:br w:type="page"/>
      </w:r>
    </w:p>
    <w:p>
      <w:pPr>
        <w:pStyle w:val="VasatChinArabi++"/>
      </w:pPr>
      <w:r>
        <w:rPr>
          <w:rtl w:val="0"/>
          <w:lang w:val="fa-IR"/>
        </w:rPr>
        <w:t xml:space="preserve">بسم اللَه الرحمن الرحیم</w:t>
      </w:r>
    </w:p>
    <w:p>
      <w:pPr/>
      <w:r>
        <w:rPr>
          <w:rtl w:val="0"/>
          <w:lang w:val="fa-IR"/>
        </w:rPr>
        <w:t xml:space="preserve">دوست محترم و برادر مكرّم: آقاي دكتر ... كه از أصدقاء و اخوان ديرين ما هستند،در روز سه شنبه ٢٢ جمادي الاولي يكهزار و چهارصد و سه كه به مشهد مقدّس مشرّف شده بودند داستان جالبي را از همشيره خود نقل كردند كه ما در اينجا ثبت مي‌كنيم.</w:t>
      </w:r>
    </w:p>
    <w:p>
      <w:pPr/>
      <w:r>
        <w:rPr>
          <w:rtl w:val="0"/>
          <w:lang w:val="fa-IR"/>
        </w:rPr>
        <w:t xml:space="preserve">همشيره ايشان خانم دكتر ... كه داراي درجه دكتري در بيماريهاي عمومي و زنان است و مدت مديدي با شوهر خود آقاي دكتر ... كه دندان پزشك است در شهر كرمان به معالجه و طبابت اشتغال داشته‌اند.</w:t>
      </w:r>
    </w:p>
    <w:p>
      <w:pPr/>
      <w:r>
        <w:rPr>
          <w:rtl w:val="0"/>
          <w:lang w:val="fa-IR"/>
        </w:rPr>
        <w:t xml:space="preserve">اين خانم دكتر كه در بيمارستان نيز كار مي‌كرد وقتي مواجه شد با يك زن حامله كه فقير بود و چندين كودك خردسال داشت و اين مريض مبتلا بود به بيماري مسموميّت حاملگي كه بسيار خطرناك بوده و به ندرت معالجه مي‌شود.</w:t>
      </w:r>
    </w:p>
    <w:p>
      <w:pPr/>
      <w:r>
        <w:rPr>
          <w:rtl w:val="0"/>
          <w:lang w:val="fa-IR"/>
        </w:rPr>
        <w:t xml:space="preserve">اطبّاء آن بيمارستان و از جمله همين خانم دكتر آنچه مي‌دانستند و مي‌توانستند در روي اين بيمار انجام دادند، به هيچوجه مؤثّر واقع نشد مريض در روي تخت افتاده، در يك دست سورنگ قند، و در دست ديگر سورنگ تزريق خون بود، تا كم كم بيمار در آستانه مرگ رفت و تمام علائم مرگ در او مشهود شد و ديگر همه اطباء كار او را تمام شده يافتند و دستور دادند كه سورنگ قند وسورنگ خون را بردارند.</w:t>
      </w:r>
    </w:p>
    <w:p>
      <w:pPr/>
      <w:r>
        <w:rPr>
          <w:rtl w:val="0"/>
          <w:lang w:val="fa-IR"/>
        </w:rPr>
        <w:t xml:space="preserve">اين خانم دكتر مي‌گويد: حالا سرنگ خون را برنداريد! و احتياطًا بگذاريد شايد خدا شفا دهد!</w:t>
      </w:r>
    </w:p>
    <w:p>
      <w:pPr/>
      <w:r>
        <w:rPr>
          <w:rtl w:val="0"/>
          <w:lang w:val="fa-IR"/>
        </w:rPr>
        <w:t xml:space="preserve">اطبّاء همگي بطور بي‌اهميّتي بدين مطلب و سبك شمردن اين گفتار، تخت مريض را ترك كردند زيرا كه نه تنها مرگ او را حتمي مي‌دانستند بلكه اين بيمار را مرده مي‌يافتند.</w:t>
      </w:r>
    </w:p>
    <w:p>
      <w:pPr/>
      <w:r>
        <w:rPr>
          <w:rtl w:val="0"/>
          <w:lang w:val="fa-IR"/>
        </w:rPr>
        <w:t xml:space="preserve">همين كه اطبّاء بيرون مي‌روند اين خانم دكتر از اطاق اين مريض در سرسرا مي‌آيد و متوسّل مي‌شود به حضرت سيد الشّهداء عليه السّلام و عرض مي‌كند: اين بيمار بچه‌هاي خرد و كودك‌هاي نو سال دارد؛ و اگر بميرد همه اين اطفال بي‌خانمان مي‌شوند شما را به مقام و عظمت خود او را شفا دهيد!</w:t>
      </w:r>
    </w:p>
    <w:p>
      <w:pPr/>
      <w:r>
        <w:rPr>
          <w:rtl w:val="0"/>
          <w:lang w:val="fa-IR"/>
        </w:rPr>
        <w:t xml:space="preserve">اين را مي‌گويد و به اطاق مريض برمي‌گردد و مي‌بيند بيمار نشسته است. سر و صدا مي‌شود؛ غوغائي مي‌شود، همه اطبّاء بدين اطاق بيمار مي‌آيند و همه غرق در تحيّر مي‌گردند و در عالمي از بُهت فرو مي‌روند.</w:t>
      </w:r>
    </w:p>
    <w:p>
      <w:pPr/>
      <w:r>
        <w:rPr>
          <w:rtl w:val="0"/>
          <w:lang w:val="fa-IR"/>
        </w:rPr>
        <w:t xml:space="preserve">بيمار مي‌گويد: من مُردَم و مرا به آسمان بالا بردند تا جائي كه حضرت سيّد الشّهداء و حضرت اباالفضل و حضرت امام رضا عليهم السّلام بودند. حضرت رضا عليه السّلام به من فرمودند: بنا بود شما بيائيد وليكن از جهت توسّل خانم دكتر شما را برمي‌گردانيم و شما به سلامت مي‌زائيد و اين طفل را هم خود شما بزرگ خواهيد كرد!</w:t>
      </w:r>
    </w:p>
    <w:p>
      <w:pPr/>
      <w:r>
        <w:rPr>
          <w:rtl w:val="0"/>
          <w:lang w:val="fa-IR"/>
        </w:rPr>
        <w:t xml:space="preserve">و به خانم دكتر بگو: دو سال است ما منتظر شما هستيم! چرا نزد ما نمي‌آئي!</w:t>
      </w:r>
    </w:p>
    <w:p>
      <w:pPr/>
      <w:r>
        <w:rPr>
          <w:rtl w:val="0"/>
          <w:lang w:val="fa-IR"/>
        </w:rPr>
        <w:t xml:space="preserve">خانم دكتر در اين حال مي‌گويد: عجيب است كه من دو سال است كه نذر كرده‌ام به زيارت حضرت رضا عليه السّلام به مشهد مقدّس مشرف شوم ولي تا به حال نشده است و كوتاهي كرده‌ام.</w:t>
      </w:r>
    </w:p>
    <w:p>
      <w:pPr/>
      <w:r>
        <w:rPr>
          <w:rtl w:val="0"/>
          <w:lang w:val="fa-IR"/>
        </w:rPr>
        <w:t xml:space="preserve">آقاي دكتر ... گفتند: بلافاصله همشيره ما براي أدآء نذر خود و زيارت حضرت رضا عليه السّلام رهسپار مشهد مي‌شود.</w:t>
      </w:r>
      <w:r>
        <w:rPr>
          <w:rStyle w:val="FootnoteReference"/>
        </w:rPr>
        <w:footnoteReference w:id="1"/>
      </w:r>
    </w:p>
    <w:sectPr w:rsidSect="00FF2A7F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1134" w:right="851" w:bottom="1134" w:left="851" w:header="0" w:footer="289" w:gutter="0"/>
      <w:cols w:num="1" w:space="708">
        <w:col w:w="8277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2000400000000000000"/>
    <w:charset w:val="00"/>
    <w:family w:val="Auto"/>
    <w:pitch w:val="variable"/>
    <w:sig w:usb0="00002007" w:usb1="9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_F Asrar">
    <w:panose1 w:val="00000000000000000000"/>
    <w:charset w:val="00"/>
    <w:family w:val="Auto"/>
    <w:pitch w:val="variable"/>
    <w:sig w:usb0="00000000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28" name="_x0000_i0028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28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مطلع انوار، جلد 1/ف ص 159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bordersDoNotSurroundFooter/>
  <w:bordersDoNotSurroundHeader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B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She'rMatn">
    <w:name w:val="She'r Matn"/>
    <w:basedOn w:val="Normal"/>
    <w:uiPriority w:val="4"/>
    <w:qFormat/>
    <w:rsid w:val="00CE342E"/>
    <w:pPr>
      <w:ind w:firstLine="0"/>
      <w:jc w:val="left"/>
    </w:pPr>
    <w:rPr>
      <w:rFonts w:ascii="_F Asrar" w:eastAsia="_F Asrar" w:hAnsi="_F Asrar" w:cs="_F Asrar"/>
      <w:color w:val="FFCC99"/>
      <w:lang w:bidi="fa-IR"/>
    </w:rPr>
  </w:style>
  <w:style w:type="paragraph" w:customStyle="1" w:styleId="MatnVasatChin">
    <w:name w:val="MatnVasatChin"/>
    <w:basedOn w:val="Normal"/>
    <w:qFormat/>
    <w:rsid w:val="00CE342E"/>
    <w:pPr>
      <w:jc w:val="center"/>
    </w:pPr>
    <w:rPr>
      <w:lang w:bidi="fa-IR"/>
    </w:rPr>
  </w:style>
  <w:style w:type="paragraph" w:customStyle="1" w:styleId="ChapChin">
    <w:name w:val="ChapChin"/>
    <w:basedOn w:val="Normal"/>
    <w:uiPriority w:val="4"/>
    <w:qFormat/>
    <w:rsid w:val="00CE342E"/>
    <w:pPr>
      <w:jc w:val="right"/>
    </w:pPr>
    <w:rPr>
      <w:rFonts w:ascii="_F Asrar" w:eastAsia="_F Asrar" w:hAnsi="_F Asrar" w:cs="_F Asrar"/>
      <w:color w:val="3366FF"/>
      <w:lang w:bidi="fa-IR"/>
    </w:rPr>
  </w:style>
  <w:style w:type="paragraph" w:customStyle="1" w:styleId="She'rNaghleghol">
    <w:name w:val="She'r Naghleghol"/>
    <w:basedOn w:val="Normal"/>
    <w:uiPriority w:val="4"/>
    <w:qFormat/>
    <w:rsid w:val="00CE342E"/>
    <w:pPr>
      <w:spacing w:line="216" w:lineRule="auto"/>
      <w:ind w:firstLine="0"/>
      <w:jc w:val="left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CE342E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4E00B0"/>
    <w:rPr>
      <w:rFonts w:ascii="_F Asrar" w:eastAsia="_F Asrar" w:hAnsi="_F Asrar" w:cs="_F Asrar"/>
      <w:i/>
      <w:iCs/>
      <w:color w:val="FF00FF"/>
      <w:lang w:bidi="fa-IR"/>
    </w:rPr>
  </w:style>
  <w:style w:type="character" w:customStyle="1" w:styleId="RevayatArabi">
    <w:name w:val="Revayat Arabi"/>
    <w:basedOn w:val="DefaultParagraphFont"/>
    <w:qFormat/>
    <w:rsid w:val="004E00B0"/>
    <w:rPr>
      <w:rFonts w:ascii="_A Asrar" w:hAnsi="_A Asrar" w:cs="_A Asrar"/>
      <w:b/>
      <w:bCs/>
      <w:i w:val="0"/>
      <w:iCs w:val="0"/>
      <w:color w:val="339966"/>
      <w:lang w:bidi="ar-SA"/>
    </w:rPr>
  </w:style>
  <w:style w:type="paragraph" w:customStyle="1" w:styleId="NaghlegholMatn">
    <w:name w:val="Naghleghol Matn"/>
    <w:basedOn w:val="Normal"/>
    <w:uiPriority w:val="2"/>
    <w:qFormat/>
    <w:rsid w:val="004E00B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4E00B0"/>
    <w:pPr>
      <w:ind w:left="1134"/>
    </w:pPr>
    <w:rPr>
      <w:rFonts w:ascii="_F Asrar" w:eastAsia="_F Asrar" w:hAnsi="_F Asrar" w:cs="_F Asrar"/>
      <w:color w:val="B3B3B3"/>
      <w:sz w:val="23"/>
      <w:szCs w:val="23"/>
      <w:lang w:bidi="fa-IR"/>
    </w:rPr>
  </w:style>
  <w:style w:type="paragraph" w:customStyle="1" w:styleId="VasatChinMatn">
    <w:name w:val="VasatChin Matn"/>
    <w:basedOn w:val="Normal"/>
    <w:uiPriority w:val="3"/>
    <w:qFormat/>
    <w:rsid w:val="00FE37E3"/>
    <w:pPr>
      <w:ind w:firstLine="0"/>
      <w:jc w:val="center"/>
    </w:pPr>
    <w:rPr>
      <w:rFonts w:ascii="_F Asrar" w:eastAsia="_F Asrar" w:hAnsi="_F Asrar" w:cs="_F Asrar"/>
      <w:color w:val="339966"/>
      <w:lang w:bidi="fa-IR"/>
    </w:rPr>
  </w:style>
  <w:style w:type="paragraph" w:customStyle="1" w:styleId="VasatChinPavaraghi">
    <w:name w:val="VasatChin Pavaraghi"/>
    <w:basedOn w:val="FootnoteText"/>
    <w:uiPriority w:val="3"/>
    <w:qFormat/>
    <w:rsid w:val="00FE37E3"/>
    <w:pPr>
      <w:numPr>
        <w:ilvl w:val="1"/>
      </w:numPr>
      <w:jc w:val="center"/>
    </w:pPr>
    <w:rPr>
      <w:rFonts w:ascii="_F Asrar" w:eastAsia="_F Asrar" w:hAnsi="_F Asrar" w:cs="_F Asrar"/>
      <w:color w:val="00FF00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439561B8-367C-45CB-8F78-76552F388B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