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 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شفاعت حضرت زهراء علیها السّلام در روز قیامت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  بسم اللَه الرحمن الرحیم</w:t>
      </w:r>
    </w:p>
    <w:p>
      <w:pPr/>
      <w:r>
        <w:rPr>
          <w:rtl w:val="0"/>
          <w:lang w:val="fa-IR"/>
        </w:rPr>
        <w:t xml:space="preserve">روایت فرات بن ابراهیم از امام صادق علیه السلام در ارتباط با علو مقام و شان حضرت زهرا سلام اللَه علیها</w:t>
      </w:r>
    </w:p>
    <w:p>
      <w:pPr>
        <w:pStyle w:val="Heading2"/>
      </w:pPr>
      <w:r>
        <w:rPr>
          <w:rtl w:val="0"/>
          <w:lang w:val="fa-IR"/>
        </w:rPr>
        <w:t xml:space="preserve">شفاعت حضرت زهراء علیها السّلام در روز قیامت‌</w:t>
      </w:r>
    </w:p>
    <w:p>
      <w:pPr/>
      <w:r>
        <w:rPr>
          <w:rtl w:val="0"/>
          <w:lang w:val="fa-IR"/>
        </w:rPr>
        <w:t xml:space="preserve">فرات بن إبراهیم در تفسیر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 خود، روایت می‌كند از سهل بن أحمد دینورى، با إسناد خود از حضرت صادق علیه السّلام كه آن حضرت گفته‌اند:</w:t>
      </w:r>
    </w:p>
    <w:p>
      <w:pPr/>
      <w:r>
        <w:rPr>
          <w:rtl w:val="0"/>
          <w:lang w:val="fa-IR"/>
        </w:rPr>
        <w:t xml:space="preserve">جابر به حضرت أبوجعفر امام‌ محمّد باقر علیه السّلام عرض كرد: فدایت شوم، اى پسر رسول اللَه! حدیثى درباره جدّه‌ات فاطمه زهرا سلام اللَه علیها، و در فضیلت و شرافت آن بى‌بى براى من نقل كن كه چون من آنرا براى شیعیان بازگو كنم، خوشحال شوند!</w:t>
      </w:r>
    </w:p>
    <w:p>
      <w:pPr/>
      <w:r>
        <w:rPr>
          <w:rtl w:val="0"/>
          <w:lang w:val="fa-IR"/>
        </w:rPr>
        <w:t xml:space="preserve">حضرت باقر علیه السّلام فرمودند: پدرم براى من حدیث كرد، از جدّم از رسول خدا صلّى اللَه علیه و آله و سلّم كه چون روز قیامت بر پا شود، براى هر یك از انبیاء و مرسلین منبرى از نور نصب مى‌كنند، و منبر من در آن روز از همه منابر بلند‌تر است.</w:t>
      </w:r>
    </w:p>
    <w:p>
      <w:pPr/>
      <w:r>
        <w:rPr>
          <w:rtl w:val="0"/>
          <w:lang w:val="fa-IR"/>
        </w:rPr>
        <w:t xml:space="preserve">و پس از آن خداوند می‌فرماید : </w:t>
      </w:r>
      <w:r>
        <w:rPr>
          <w:rStyle w:val="RevayatArabi++"/>
          <w:rtl w:val="0"/>
          <w:lang w:val="fa-IR"/>
        </w:rPr>
        <w:t xml:space="preserve">یا مُحَمَّدُ اخْطُبْ</w:t>
      </w:r>
      <w:r>
        <w:rPr>
          <w:rtl w:val="0"/>
          <w:lang w:val="fa-IR"/>
        </w:rPr>
        <w:t xml:space="preserve">! «اى محمّد خُطبه بخوان!» و من خطبه اى می‌خوانم كه هیچیك از انبیاء و رسل همانند آنرا نشنیده‌اند.</w:t>
      </w:r>
    </w:p>
    <w:p>
      <w:pPr/>
      <w:r>
        <w:rPr>
          <w:rtl w:val="0"/>
          <w:lang w:val="fa-IR"/>
        </w:rPr>
        <w:t xml:space="preserve">و سپس براى هر یك از اوصیاء پیمبران منبرى از نور نصب مى‌كنند، و براى وصىّ من علىّ بْن أبى طالب در وسط آن منبرها منبرى از نور نصب مى‌كنند، و منبر او از همه منبرهاى آنان بلند‌تر است.</w:t>
      </w:r>
    </w:p>
    <w:p>
      <w:pPr/>
      <w:r>
        <w:rPr>
          <w:rtl w:val="0"/>
          <w:lang w:val="fa-IR"/>
        </w:rPr>
        <w:t xml:space="preserve">سپس خداوند می‌فرماید: </w:t>
      </w:r>
      <w:r>
        <w:rPr>
          <w:rStyle w:val="RevayatArabi++"/>
          <w:rtl w:val="0"/>
          <w:lang w:val="fa-IR"/>
        </w:rPr>
        <w:t xml:space="preserve">یا عَلِىُّ اخْطُب</w:t>
      </w:r>
      <w:r>
        <w:rPr>
          <w:rtl w:val="0"/>
          <w:lang w:val="fa-IR"/>
        </w:rPr>
        <w:t xml:space="preserve">! «اى على خطبه بخوان!» پس على خطبه اى می‌خواند كه هیچیك از اوصیاء پیامبران همانند آنرا نشنیده‌اند.</w:t>
      </w:r>
    </w:p>
    <w:p>
      <w:pPr/>
      <w:r>
        <w:rPr>
          <w:rtl w:val="0"/>
          <w:lang w:val="fa-IR"/>
        </w:rPr>
        <w:t xml:space="preserve">و پس از آن براى اولاد انبیاء و مرسلین منبرهائى همانند آن منبرها نصب مى‌كنند. و براى دو فرزند و دو سبط من و دو ریحانه من در ایام حیات و زندگانیم، منبرى از نور مى‌باشد.</w:t>
      </w:r>
    </w:p>
    <w:p>
      <w:pPr/>
      <w:r>
        <w:rPr>
          <w:rtl w:val="0"/>
          <w:lang w:val="fa-IR"/>
        </w:rPr>
        <w:t xml:space="preserve">سپس به آن دو گفته مى‌شود:</w:t>
      </w:r>
      <w:r>
        <w:rPr>
          <w:rStyle w:val="RevayatArabi++"/>
          <w:rtl w:val="0"/>
          <w:lang w:val="fa-IR"/>
        </w:rPr>
        <w:t xml:space="preserve"> اخْطُبَا</w:t>
      </w:r>
      <w:r>
        <w:rPr>
          <w:rtl w:val="0"/>
          <w:lang w:val="fa-IR"/>
        </w:rPr>
        <w:t xml:space="preserve">! «خطبه بخوانید!» پس آنان دو خطبه می‌خوانند كه هیچیك از اولاد انبیاء و مرسلین همانندش را نشنیده‌اند.</w:t>
      </w:r>
    </w:p>
    <w:p>
      <w:pPr/>
      <w:r>
        <w:rPr>
          <w:rStyle w:val="RevayatArabi++"/>
          <w:rtl w:val="0"/>
          <w:lang w:val="fa-IR"/>
        </w:rPr>
        <w:t xml:space="preserve">ثُمَّ ینَادِى الْمُنَادِى وَ هُوَ جَبْرَئِیلُ عَلَیهِ السَّلَامُ: أَینَ فَاطِمَةُ بِنْتُ مُحَمَّدٍ؟ أَینَ خَدِیجَةُ بِنْتُ خُوَیلِدٍ؟ أَینَ مَرْیمُ بِنْتُ عِمْرَانَ؟ أَینَ ءَاسِیةُ بِنْتُ مُزَاحِمٍ؟ أَینَ أُمُّ كُلْثُومَ أُمُّ یحْیى بْنِ زَکرِیا.</w:t>
      </w:r>
    </w:p>
    <w:p>
      <w:pPr/>
      <w:r>
        <w:rPr>
          <w:rtl w:val="0"/>
          <w:lang w:val="fa-IR"/>
        </w:rPr>
        <w:t xml:space="preserve">«سپس منادى كه جبرئیل علیه السّلام است ندا كند: كجاست فاطمه دختر محمّد؟ كجاست خدیجه دختر خویلد؟ كجاست مریم دختر عمران؟ كجاست آسیه دختر مزاحم؟ كجاست امّ كلثوم مادر یحیى ابن زكریا؟» و همگى بر مى‌خیزند.</w:t>
      </w:r>
    </w:p>
    <w:p>
      <w:pPr/>
      <w:r>
        <w:rPr>
          <w:rtl w:val="0"/>
          <w:lang w:val="fa-IR"/>
        </w:rPr>
        <w:t xml:space="preserve">در این حال خداوند تبارك و تعالى می‌گوید: اى اهل جمع و اى مجتمعین در محشر! امروز کرم براى كیست؟! مُحمَّد وَ علىّ و حسن و حسین می‌گویند: </w:t>
      </w:r>
      <w:r>
        <w:rPr>
          <w:rStyle w:val="Ayat2Matn++"/>
          <w:rtl w:val="0"/>
          <w:lang w:val="fa-IR"/>
        </w:rPr>
        <w:t xml:space="preserve">﴿لِلَّهِ الْو حِدِ الْقَهَّارِ﴾</w:t>
      </w:r>
      <w:r>
        <w:rPr>
          <w:rtl w:val="0"/>
          <w:lang w:val="fa-IR"/>
        </w:rPr>
        <w:t xml:space="preserve">. «كَرَم فقط از خداوند واحد قهّار است.»</w:t>
      </w:r>
    </w:p>
    <w:p>
      <w:pPr/>
      <w:r>
        <w:rPr>
          <w:rtl w:val="0"/>
          <w:lang w:val="fa-IR"/>
        </w:rPr>
        <w:t xml:space="preserve">خداوند می‌گوید: اى اهل محشر! من كرم را براى محمّد و علىّ و حسن و حسین و فاطمه قرار دادم! اى اهل محشر! اینك سرهاى خود را فرود آورید و چشمان خود را فروافكنید كه فاطمه بسوى بهشت می‌رود.</w:t>
      </w:r>
    </w:p>
    <w:p>
      <w:pPr/>
      <w:r>
        <w:rPr>
          <w:rtl w:val="0"/>
          <w:lang w:val="fa-IR"/>
        </w:rPr>
        <w:t xml:space="preserve">در این حال جبرئیل براى او یك ناقه از ناقه‌هاى بهشتى را مى آورد كه دو پهلویش فرو هشته است و دهانه‌ اش از لؤلؤ تر است، و بر روى آن ناقه، جهازى از مرجان است. و آن ناقه در برابر حضرت زهراء می‌خوابد و حضرت بر آن سوار مى‌شوند. و خداوند یك صدهزار فرشته بر مى‌انگیزد تا از جانب راست او حركت كنند، و یك صد هزار فرشته دیگر بر مى‌انگیزد تا از جانب چپ او حركت كنند، و یك صد هزار فرشته دیگر بر مى‌انگیزد تا فاطمه را بر روى بالهاى خود می‌گیرند و حركت داده و تا درِ بهشت مى‌آورند.</w:t>
      </w:r>
    </w:p>
    <w:p>
      <w:pPr/>
      <w:r>
        <w:rPr>
          <w:rtl w:val="0"/>
          <w:lang w:val="fa-IR"/>
        </w:rPr>
        <w:t xml:space="preserve">چون به درِ بهشت می‌رسد، نگاهى به این طرف و آن طرف مى‌افكند.</w:t>
      </w:r>
    </w:p>
    <w:p>
      <w:pPr/>
      <w:r>
        <w:rPr>
          <w:rtl w:val="0"/>
          <w:lang w:val="fa-IR"/>
        </w:rPr>
        <w:t xml:space="preserve">خداوند خطاب می‌كند: اى دختر حبیب من! علّت این توجّهت به اطراف چیست؟ در حالی كه من تو را به بهشت خودم دلالت كردم!</w:t>
      </w:r>
    </w:p>
    <w:p>
      <w:pPr/>
      <w:r>
        <w:rPr>
          <w:rtl w:val="0"/>
          <w:lang w:val="fa-IR"/>
        </w:rPr>
        <w:t xml:space="preserve">فاطمه می‌گوید: اى پروردگار من! من دوست دارم كه قدر و منزلت من در امروز شناخته شود!</w:t>
      </w:r>
    </w:p>
    <w:p>
      <w:pPr/>
      <w:r>
        <w:rPr>
          <w:rtl w:val="0"/>
          <w:lang w:val="fa-IR"/>
        </w:rPr>
        <w:t xml:space="preserve">خداوند می‌فرماید: اى فاطمه! اى دختر حبیب من! برگرد و ببین كه در قلب هركه محبّت تو یا محبّت یكى از ذرّیه تو باشد، دست او را بگیر و داخل در بهشت بنما!</w:t>
      </w:r>
    </w:p>
    <w:p>
      <w:pPr/>
      <w:r>
        <w:rPr>
          <w:rtl w:val="0"/>
          <w:lang w:val="fa-IR"/>
        </w:rPr>
        <w:t xml:space="preserve">حضرت باقر علیه السّلام گفتند: اى جابر! سوگند به خداوند كه فاطمه در آن روز چنان شیعیان و محبّان خود را جدا می‌كند همانند پرنده اى كه دانه‌هاى خوب را از دانه‌هاى بد جدا می‌كند.</w:t>
      </w:r>
    </w:p>
    <w:p>
      <w:pPr/>
      <w:r>
        <w:rPr>
          <w:rtl w:val="0"/>
          <w:lang w:val="fa-IR"/>
        </w:rPr>
        <w:t xml:space="preserve">چون فاطمه با شیعیان خود به درِ بهشت برسند، خداوند در دل آنها مى‌اندازد كه نگاهى به اطراف بنمایند، و چون به اطراف نظر كنند، خداوند می‌فرماید: اى محبّان من! سبب التفات و توجّه شما چیست؟! من كه فاطمه دختر حبیب خود را شفیع شما قرار دادم!</w:t>
      </w:r>
    </w:p>
    <w:p>
      <w:pPr/>
      <w:r>
        <w:rPr>
          <w:rtl w:val="0"/>
          <w:lang w:val="fa-IR"/>
        </w:rPr>
        <w:t xml:space="preserve">شیعیان می‌گویند: اى پروردگار ما دوست داریم كه قدر و منزلت ما در امروز شناخته شود!</w:t>
      </w:r>
    </w:p>
    <w:p>
      <w:pPr/>
      <w:r>
        <w:rPr>
          <w:rtl w:val="0"/>
          <w:lang w:val="fa-IR"/>
        </w:rPr>
        <w:t xml:space="preserve">خداوند می‌فرماید: اى حبیبان من! برگردید و نظرى بیفكنید و ببینید، هر كس شما را به جهت محبّت به فاطمه دوست داشته است، هر كس شما را به جهت محبّت به فاطمه غذا و طعام داده است، هر كس شما را به جهت محبّت به فاطمه پوشانیده است، و هر كس شما را به جهت محبّت به فاطمه آشامیدنى خورانده است؛ نظر كنید و ببینید، هر كس به جهت محبّت به فاطمه زشتى و غیبتى را از شما برگردانیده است؛ دست او را بگیرید و داخل در بهشت بنمائید!</w:t>
      </w:r>
    </w:p>
    <w:p>
      <w:pPr/>
      <w:r>
        <w:rPr>
          <w:rtl w:val="0"/>
          <w:lang w:val="fa-IR"/>
        </w:rPr>
        <w:t xml:space="preserve">حضرت باقر علیه السّلام فرمودند: سوگند به خدا كه در میان مردم غیر از كافر و منافق و شكّ كننده در امر توحید هیچكس باقى نمى‌ماند!</w:t>
      </w:r>
    </w:p>
    <w:p>
      <w:pPr/>
      <w:r>
        <w:rPr>
          <w:rtl w:val="0"/>
          <w:lang w:val="fa-IR"/>
        </w:rPr>
        <w:t xml:space="preserve">و چون اینان را در دوزخ ببرند، در میان طبقات آن ندا كنند- همانطور كه خداى تعالى فرموده است-:</w:t>
      </w:r>
    </w:p>
    <w:p>
      <w:pPr/>
      <w:r>
        <w:rPr>
          <w:rStyle w:val="Ayat2Matn++"/>
          <w:rtl w:val="0"/>
          <w:lang w:val="fa-IR"/>
        </w:rPr>
        <w:t xml:space="preserve">﴿فَمَا لَنَا مِن شفِعِينَ* وَ لَا صَدِيقٍ حَمِيمٍ﴾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؛ از براى ما هیچ شفیعى نیست، و هیچ دوست مهربانى نیست.</w:t>
      </w:r>
    </w:p>
    <w:p>
      <w:pPr/>
      <w:r>
        <w:rPr>
          <w:rStyle w:val="Ayat2Matn++"/>
          <w:rtl w:val="0"/>
          <w:lang w:val="fa-IR"/>
        </w:rPr>
        <w:t xml:space="preserve">﴿فَلَوْ أَنَّ لَنَا كَرَّةً فَنَكُونَ مِنَ الْمُؤْمِنِينَ﴾</w:t>
      </w:r>
      <w:r>
        <w:rPr>
          <w:rtl w:val="0"/>
          <w:lang w:val="fa-IR"/>
        </w:rPr>
        <w:t xml:space="preserve">؛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 اى كاش براى ما یك بازگشت به دنیا بود، تا از مؤمنان بودیم.</w:t>
      </w:r>
    </w:p>
    <w:p>
      <w:pPr/>
      <w:r>
        <w:rPr>
          <w:rtl w:val="0"/>
          <w:lang w:val="fa-IR"/>
        </w:rPr>
        <w:t xml:space="preserve">حضرت فرمودند: </w:t>
      </w:r>
      <w:r>
        <w:rPr>
          <w:rStyle w:val="Ayat2Matn++"/>
          <w:rtl w:val="0"/>
          <w:lang w:val="fa-IR"/>
        </w:rPr>
        <w:t xml:space="preserve">هَيهَاتَ هَيهَاتَ</w:t>
      </w:r>
      <w:r>
        <w:rPr>
          <w:rtl w:val="0"/>
          <w:lang w:val="fa-IR"/>
        </w:rPr>
        <w:t xml:space="preserve">! از آنچه طلب مى‌كنند منع مى‌شوند.</w:t>
      </w:r>
    </w:p>
    <w:p>
      <w:pPr/>
      <w:r>
        <w:rPr>
          <w:rStyle w:val="Ayat2Matn++"/>
          <w:rtl w:val="0"/>
          <w:lang w:val="fa-IR"/>
        </w:rPr>
        <w:t xml:space="preserve">﴿وَ لَوْ رُدُّوا لَعَادُوا لِمَا نُهُوا عَنْهُ وَ إِنَّهُمْ لَكذِبُونَ﴾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 ؛ و اگر آنها را به دنیا برگشت دهند، هر آینه به همان كارهائى دست میزنند كه از آن نهى شده‌اند، و آنان از دروغگویانند.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" name="_x0000_i000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تفسیر فرات بن إبراهیم» ذیل آیه ١٠١ از سوره شعراء، ص ١١٣ تا ص ١١٥؛ و «بحار الانوار» ج ٨، ص ٥١ و ٥٢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آیه ١٠٠ و ١٠١، از سوره ٢٦: الشّعرآء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 آیه ١٠٢، از سوره ٢٦: الشّعرآء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قسمتى از آیه ٢٨، از سوره ٦: الانعام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