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شیء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شیء زید در خارج وجود نداشته باشد به خدا ما نمى‌گوییم خالق، چه كسى را خلق كرده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1"/>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 </w:t>
      </w:r>
      <w:r>
        <w:rPr>
          <w:rStyle w:val="Ayat2Matn++"/>
          <w:rtl w:val="0"/>
          <w:lang w:val="fa-IR"/>
        </w:rPr>
        <w:t xml:space="preserve">﴿قال فَمَنْ رَبُّكُما يا مُوسى قالَ رَبُّنَا الَّذِي أَعْطى كُلَّ شَيْءٍ خَلْقَهُ ثُمَّ هَدى﴾</w:t>
      </w:r>
      <w:r>
        <w:rPr>
          <w:rStyle w:val="FootnoteReference"/>
        </w:rPr>
        <w:footnoteReference w:id="2"/>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rPr>
          <w:rtl w:val="0"/>
          <w:lang w:val="fa-IR"/>
        </w:rPr>
        <w:t xml:space="preserve"> سؤال: همان قدیمى ها كه پیشش هست كافى است دیگر.</w:t>
      </w:r>
    </w:p>
    <w:p>
      <w:pPr>
        <w:pStyle w:val="NormalA++"/>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w:t>
      </w:r>
      <w:r>
        <w:rPr>
          <w:rtl w:val="0"/>
          <w:lang w:val="fa-IR"/>
        </w:rPr>
        <w:t xml:space="preserve">بناءًا على هذا</w:t>
      </w:r>
      <w:r>
        <w:rPr>
          <w:rtl w:val="0"/>
          <w:lang w:val="fa-IR"/>
        </w:rPr>
        <w:t xml:space="preserve">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 الطرفین بیرون مى‌آورد به مرحله وجود او را مى چرخاند و مى‌چرباند یعنى در مرحله تساوى الطرفین خود ماهیت فى حدّ نفسه لا شیء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طه/ ٤٩ و 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