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بسم الله الرحمن الرحیم‌</w:t>
      </w:r>
    </w:p>
    <w:p>
      <w:pPr>
        <w:pStyle w:val="Heading2"/>
      </w:pPr>
      <w:r>
        <w:rPr>
          <w:rtl w:val="0"/>
          <w:lang w:val="fa-IR"/>
        </w:rPr>
        <w:t xml:space="preserve">١ ـ ١٣٦</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 ما فِي قَلْبِهِ وَ هُوَ أَلَدُّ الْخِصامِ"</w:t>
      </w:r>
      <w:r>
        <w:rPr>
          <w:rStyle w:val="FootnoteReference"/>
        </w:rPr>
        <w:footnoteReference w:id="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 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 ور او دارد دور مى زند اینها همه‌اش آن موقع مشخص بود الناس عبید الدنیا</w:t>
      </w:r>
      <w:r>
        <w:rPr>
          <w:rStyle w:val="FootnoteReference"/>
        </w:rPr>
        <w:footnoteReference w:id="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5"/>
      </w:r>
    </w:p>
    <w:p>
      <w:pPr/>
      <w:r>
        <w:rPr>
          <w:rtl w:val="0"/>
          <w:lang w:val="fa-IR"/>
        </w:rPr>
        <w:t xml:space="preserve"> مى شود. دیگر همه به یك نحوى. دیگر ما هم همین طور. خدا دست ما را بگیرد والا ما ...</w:t>
      </w:r>
    </w:p>
    <w:p>
      <w:pPr/>
      <w:r>
        <w:rPr>
          <w:rtl w:val="0"/>
          <w:lang w:val="fa-IR"/>
        </w:rPr>
        <w:t xml:space="preserve">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 كه آن صفات براى حق این صفات بنحو سالبه حمل مى‌شود آنها یك وقتى جداى از مظاهر لحاظ مى‌شود یك وقتى‌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 وجود دیگر، با توجه به این قضیه مى‌گوییم پس خداوند (لم یلد و لم یولد)</w:t>
      </w:r>
      <w:r>
        <w:rPr>
          <w:rStyle w:val="FootnoteReference"/>
        </w:rPr>
        <w:footnoteReference w:id="9"/>
      </w:r>
      <w:r>
        <w:rPr>
          <w:rtl w:val="0"/>
          <w:lang w:val="fa-IR"/>
        </w:rPr>
        <w:t xml:space="preserve"> است. این (لم یلد و لم یولدى)</w:t>
      </w:r>
      <w:r>
        <w:rPr>
          <w:rStyle w:val="FootnoteReference"/>
        </w:rPr>
        <w:footnoteReference w:id="10"/>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11"/>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 صورت ممكن است.</w:t>
      </w:r>
    </w:p>
    <w:p>
      <w:pPr/>
      <w:r>
        <w:rPr>
          <w:rtl w:val="0"/>
          <w:lang w:val="fa-IR"/>
        </w:rPr>
        <w:t xml:space="preserve"> خب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البقره (٢) آيه ٢٠٧.</w:t>
      </w:r>
    </w:p>
  </w:footnote>
  <w:footnote w:id="2">
    <w:p>
      <w:pPr>
        <w:pStyle w:val="FootnoteText"/>
      </w:pPr>
      <w:r>
        <w:rPr>
          <w:rStyle w:val="FootnoteReference"/>
        </w:rPr>
        <w:footnoteRef/>
      </w:r>
      <w:r>
        <w:t xml:space="preserve"> </w:t>
      </w:r>
      <w:r>
        <w:rPr>
          <w:rtl w:val="0"/>
          <w:lang w:val="fa-IR"/>
        </w:rPr>
        <w:t xml:space="preserve">٢- سوره البقره (٢) آيه ٢٠٤.</w:t>
      </w:r>
    </w:p>
  </w:footnote>
  <w:footnote w:id="3">
    <w:p>
      <w:pPr>
        <w:pStyle w:val="FootnoteText"/>
      </w:pPr>
      <w:r>
        <w:rPr>
          <w:rStyle w:val="FootnoteReference"/>
        </w:rPr>
        <w:footnoteRef/>
      </w:r>
      <w:r>
        <w:t xml:space="preserve"> </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p>
  </w:footnote>
  <w:footnote w:id="7">
    <w:p>
      <w:pPr>
        <w:pStyle w:val="FootnoteText"/>
      </w:pPr>
      <w:r>
        <w:rPr>
          <w:rStyle w:val="FootnoteReference"/>
        </w:rPr>
        <w:footnoteRef/>
      </w:r>
      <w:r>
        <w:t xml:space="preserve"> </w:t>
      </w:r>
      <w:r>
        <w:rPr>
          <w:rtl w:val="0"/>
          <w:lang w:val="fa-IR"/>
        </w:rPr>
        <w:t xml:space="preserve">١- سوره التوبه (٩) قسمتى از آيه ١٠٨.</w:t>
      </w:r>
    </w:p>
  </w:footnote>
  <w:footnote w:id="8">
    <w:p>
      <w:pPr>
        <w:pStyle w:val="FootnoteText"/>
      </w:pPr>
      <w:r>
        <w:rPr>
          <w:rStyle w:val="FootnoteReference"/>
        </w:rPr>
        <w:footnoteRef/>
      </w:r>
      <w:r>
        <w:t xml:space="preserve"> </w:t>
      </w:r>
      <w:r>
        <w:rPr>
          <w:rtl w:val="0"/>
          <w:lang w:val="fa-IR"/>
        </w:rPr>
        <w:t xml:space="preserve">١- سوره التوبه (٩) قسمتى از آيه ١٢.</w:t>
      </w:r>
    </w:p>
  </w:footnote>
  <w:footnote w:id="9">
    <w:p>
      <w:pPr>
        <w:pStyle w:val="FootnoteText"/>
      </w:pPr>
      <w:r>
        <w:rPr>
          <w:rStyle w:val="FootnoteReference"/>
        </w:rPr>
        <w:footnoteRef/>
      </w:r>
      <w:r>
        <w:t xml:space="preserve"> </w:t>
      </w:r>
      <w:r>
        <w:rPr>
          <w:rtl w:val="0"/>
          <w:lang w:val="fa-IR"/>
        </w:rPr>
        <w:t xml:space="preserve">(١ و ٢) سورة الخلاص (١١٢) آيه ٣.</w:t>
      </w:r>
    </w:p>
  </w:footnote>
  <w:footnote w:id="10">
    <w:p>
      <w:pPr>
        <w:pStyle w:val="FootnoteText"/>
      </w:pPr>
      <w:r>
        <w:rPr>
          <w:rStyle w:val="FootnoteReference"/>
        </w:rPr>
        <w:footnoteRef/>
      </w:r>
      <w:r>
        <w:t xml:space="preserve"> </w:t>
      </w:r>
      <w:r>
        <w:rPr>
          <w:rtl w:val="0"/>
          <w:lang w:val="fa-IR"/>
        </w:rPr>
        <w:t xml:space="preserve">(١ و ٢) سورة الخلاص (١١٢) آيه ٣.</w:t>
      </w:r>
    </w:p>
  </w:footnote>
  <w:footnote w:id="11">
    <w:p>
      <w:pPr>
        <w:pStyle w:val="FootnoteText"/>
      </w:pPr>
      <w:r>
        <w:rPr>
          <w:rStyle w:val="FootnoteReference"/>
        </w:rPr>
        <w:footnoteRef/>
      </w:r>
      <w:r>
        <w:t xml:space="preserve"> </w:t>
      </w:r>
      <w:r>
        <w:rPr>
          <w:rtl w:val="0"/>
          <w:lang w:val="fa-IR"/>
        </w:rPr>
        <w:t xml:space="preserve">سورة الاخلاص (١١٢) آيه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