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4" name="_x0000_i004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