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یکصد و چهل و دوم</w:t>
      </w:r>
    </w:p>
    <w:p>
      <w:pPr>
        <w:pStyle w:val="Heading5"/>
      </w:pPr>
      <w:r>
        <w:rPr>
          <w:rtl w:val="0"/>
          <w:lang w:val="fa-IR"/>
        </w:rPr>
        <w:t xml:space="preserve">نحوۀ وحدت واجب الوجود (1)</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VasatChinMatn"/>
      </w:pPr>
      <w:r>
        <w:rPr>
          <w:rStyle w:val="Arabi"/>
          <w:rtl w:val="0"/>
          <w:lang w:val="fa-IR"/>
        </w:rPr>
        <w:t xml:space="preserve">فصل (5)</w:t>
      </w:r>
    </w:p>
    <w:p>
      <w:pPr>
        <w:pStyle w:val="VasatChinMatn"/>
      </w:pPr>
      <w:r>
        <w:rPr>
          <w:rStyle w:val="Arabi"/>
          <w:rtl w:val="0"/>
          <w:lang w:val="fa-IR"/>
        </w:rPr>
        <w:t xml:space="preserve">فى أنّ واجبَ الوجودِ واحدٌ</w:t>
      </w:r>
    </w:p>
    <w:p>
      <w:pPr>
        <w:pStyle w:val="NaghlegholMatn"/>
      </w:pPr>
      <w:r>
        <w:rPr>
          <w:rStyle w:val="Arabi"/>
          <w:rtl w:val="0"/>
          <w:lang w:val="fa-IR"/>
        </w:rPr>
        <w:t xml:space="preserve">لا بمعنى أنّ نوعَه منحصرٌ فی شخصِه علىٰ ما توُهِّمَ إذ لا نوعَ لحقیقةِ الوجودِ كما مرّ فمجرّدُ كونِه متشخِّصًا بنفسِ ذاتِه لا یوجِبُ استحالةَ واجبِ وجودِ الآخرِ مِن دونِ الرجوعِ إلى البرهانِ كما زَعَمَه بعضُ الناسِ حیثُ قال إنّ ما بَیَّنا مِن أنّ التعینَ نفسُ حقیقتِه یَكفی فی إثباتِ توحیدِه فإنّ التعینَ إذا كان نفسَ ماهیةِ شی‏ءٍ كان نوعُه منحصرًا فی شخصِه بالضرورةِ.</w:t>
      </w:r>
      <w:r>
        <w:rPr>
          <w:rStyle w:val="FootnoteReference"/>
        </w:rPr>
        <w:footnoteReference w:id="1"/>
      </w:r>
    </w:p>
    <w:p>
      <w:pPr>
        <w:pStyle w:val="Heading6"/>
      </w:pPr>
      <w:r>
        <w:rPr>
          <w:rtl w:val="0"/>
          <w:lang w:val="fa-IR"/>
        </w:rPr>
        <w:t xml:space="preserve">تبیین جایگاه مسئلۀ وحدت واجب الوجود</w:t>
      </w:r>
    </w:p>
    <w:p>
      <w:pPr/>
      <w:r>
        <w:rPr>
          <w:rtl w:val="0"/>
          <w:lang w:val="fa-IR"/>
        </w:rPr>
        <w:t xml:space="preserve">این بحث در وحدت واجب ‏الوجود است. واجب ‏الوجود یك وصف انتزاعى از حقیقت ذات واجب است‏. چون وجوب و امكان و امتناع عبارت از صفات حملیّۀ در قضیّه است؛ حالا یا قضیّۀ تامّه یا ناقصه. در ربط بین موضوع و محمول و كیفیّت جهت، این سه وصف انتزاع مى‏شود: یا این محمول بر موضوع در قضیّۀ تامّه بالضروره حمل می‌شود مثل </w:t>
      </w:r>
      <w:r>
        <w:rPr>
          <w:rStyle w:val="Arabi"/>
          <w:rtl w:val="0"/>
          <w:lang w:val="fa-IR"/>
        </w:rPr>
        <w:t xml:space="preserve">زیدٌ موجودٌ</w:t>
      </w:r>
      <w:r>
        <w:rPr>
          <w:rtl w:val="0"/>
          <w:lang w:val="fa-IR"/>
        </w:rPr>
        <w:t xml:space="preserve"> یا محمول بر موضوع در قضیّۀ ناقصه حمل مى‏شود مثل </w:t>
      </w:r>
      <w:r>
        <w:rPr>
          <w:rStyle w:val="Arabi"/>
          <w:rtl w:val="0"/>
          <w:lang w:val="fa-IR"/>
        </w:rPr>
        <w:t xml:space="preserve">زیدٌ قائمٌ</w:t>
      </w:r>
      <w:r>
        <w:rPr>
          <w:rtl w:val="0"/>
          <w:lang w:val="fa-IR"/>
        </w:rPr>
        <w:t xml:space="preserve">، در هر كدام از این دو، جهت در حمل، یا متصف به وجوب است یا به امتناع است و یا به امكان است.</w:t>
      </w:r>
    </w:p>
    <w:p>
      <w:pPr/>
      <w:r>
        <w:rPr>
          <w:rtl w:val="0"/>
          <w:lang w:val="fa-IR"/>
        </w:rPr>
        <w:t xml:space="preserve">بنابراین از كیفیّت حمل محمول بر موضوع، انتزاع یك وصفى مى‏شود كه ما اسم آن را وجوب مى‏گذاریم. این واجب ‏الوجود، یك وصف انتزاعى از حمل موجودٌ بر ذات واجب است. اینكه </w:t>
      </w:r>
      <w:r>
        <w:rPr>
          <w:rStyle w:val="Arabi"/>
          <w:rtl w:val="0"/>
          <w:lang w:val="fa-IR"/>
        </w:rPr>
        <w:t xml:space="preserve">اللهُ موجودٌ،</w:t>
      </w:r>
      <w:r>
        <w:rPr>
          <w:rtl w:val="0"/>
          <w:lang w:val="fa-IR"/>
        </w:rPr>
        <w:t xml:space="preserve"> به چه حملى و به چه جهتى این موجودیّت را شما بر الله حمل مى‏كنید؟ بالوجوب حمل مى‏كنید یا بالامكان یا بالامتناع؟ امتناع که نیست، امكان هم آیا امكان خاص است یا امكان عام است؟ اینجا منظور امكان عام است؛ حالا یا به امكان عام حمل مى‏شود كه منافاتى با وجود ندارد بلكه در اینجا نفى ضرورت از طرف مقابل را مى‏كند نه نفى ضرورت از جانب خود حمل و عقد الحمل را. یا اینكه حمل وجودٌ بر واجب بالضروره است. این حمل، حمل ذاتى‏ است. یعنى خود ذات شى‏ء بدون لحاظ امر دیگرى، وجوب از او انتزاع مى‏شود و بر واجب حمل مى‏شود.</w:t>
      </w:r>
    </w:p>
    <w:p>
      <w:pPr>
        <w:pStyle w:val="Heading6"/>
      </w:pPr>
      <w:r>
        <w:rPr>
          <w:rtl w:val="0"/>
          <w:lang w:val="fa-IR"/>
        </w:rPr>
        <w:t xml:space="preserve">تحقق وجود به تعین او در تمام مراتبش</w:t>
      </w:r>
    </w:p>
    <w:p>
      <w:pPr/>
      <w:r>
        <w:rPr>
          <w:rtl w:val="0"/>
          <w:lang w:val="fa-IR"/>
        </w:rPr>
        <w:t xml:space="preserve">مرحوم آخوند درصدد اثبات این مطلب هستند كه واجب الوجود تحققّش در خارج در ضمن یك حقیقت است، و حقایق دیگر نمى‏توانند متصف به وصف واجب الوجود شوند؛ البته واجب الوجود بالذات نه بالغیر. كلام مرحوم آخوند در اینجا این است: شكى نیست كه هر وجودى كه در خارج بخواهد تحقّق پیدا بكند باید تعیّن پیدا كند.</w:t>
      </w:r>
    </w:p>
    <w:p>
      <w:pPr/>
      <w:r>
        <w:rPr>
          <w:rtl w:val="0"/>
          <w:lang w:val="fa-IR"/>
        </w:rPr>
        <w:t xml:space="preserve">به‌عبارت‌دیگر ماهیّات اگر بخواهند در خارج تحقّق پیدا بكنند نیاز به وجود دارند؛ حالا یا وجود ذهنى و یا خارجى. شما ماهیّتى را كه بدون وجود ذهنى یا وجود خارجى تحقق پیدا كند هیچ‌وقت پیدا نخواهید كرد. یا در ذهن باید این ماهیّت وجود پیدا كند كه وجود آمده و چاشنى این ماهیّت شده و این ماهیّت را در عالم ذهن متحقق كرده است، یا اینكه باید وجود در خارج چاشنى این ماهیّت بشود تا این ماهیّت بتواند در خارج تحقق پیدا بكند. همین‌طور [که ماهیّات اگر بخواهند در خارج تحقّق پیدا بكنند نیاز به وجود دارند،] خود وجود اگر بخواهد تحقق داشته باشد، آن وجود باید تعیّن داشته باشد. یعنى ما اصلاً وجود مبهم نداریم! وجود مبهم صرفاً یك تصوّر ذهنى است. اما اگر وجود در خارج بخواهد تحقّق پیدا كند، چه در عالم ماده و صورت و چه در عالم صورت و مادۀ متفاوت از این ماده و چه در عالم مجردات و مبدعات و در هر مرتبه از مراتب علمى، اگر وجود بخواهد تحقق پیدا کند وجود مبهم نخواهد بود بلکه وجود مشخص خارجى خواهد بود. این معنی معناى تعیّن است.</w:t>
      </w:r>
    </w:p>
    <w:p>
      <w:pPr/>
      <w:r>
        <w:rPr>
          <w:rtl w:val="0"/>
          <w:lang w:val="fa-IR"/>
        </w:rPr>
        <w:t xml:space="preserve">البته در تعیّن ما قائل به توسعه هستیم. یعنى تعیّن را فقط اختصاص به موجودات مادی و صورى نمى‏دانیم بلكه در تمام مراتب علوى و مبدعات از نقطه‌نظر سعه باز هم قائل به تعیّن هستیم و همین‌طور هم هست. من‌باب‌مثال یك‌وقت تعیّن وجود فقط در این لیوان است، یك‌وقت تعیّن وجود از این‏ لیوان هم كوچك‌تر و در استكان است، یك‌وقت تعیّن وجود در یك ذرّه‏اى است كه از سر این مى‏پرد، تعیّن وجود در آنجا هم تحقق دارد. و همین‌طور ممكن است شما تعیّن وجود را در یك وجود واسعه‏اى مثل وجود مجرّدات و مبدعات و عقول مفارقه بگیرید. اینها تعیناتى هستند كه گرچه از نقطه نظر سعى در مقام قاهریّت و در مقام حاكمیّت بر همۀ تعیّنات خارجى حكومت و قهاریّت دارند ولى بالاخره خود آنها نیز متعیّن خواهند بود.</w:t>
      </w:r>
    </w:p>
    <w:p>
      <w:pPr>
        <w:pStyle w:val="Heading6"/>
      </w:pPr>
      <w:r>
        <w:rPr>
          <w:rtl w:val="0"/>
          <w:lang w:val="fa-IR"/>
        </w:rPr>
        <w:t xml:space="preserve">امکان حمل برخی از مقولات بر تعینات مادی و مجرد</w:t>
      </w:r>
    </w:p>
    <w:p>
      <w:pPr/>
      <w:r>
        <w:rPr>
          <w:rtl w:val="0"/>
          <w:lang w:val="fa-IR"/>
        </w:rPr>
        <w:t xml:space="preserve">و لذا بحثى كه مرحوم آخوند راجع به عوارض خارجى مى‏كند که کم جزو عوارض است و این کم عارض بر ماده و صورت است، این محلّ تأمل است، به جهت اینكه كم از عوارضى است كه بر نفس تعیّن جوهر بار مى‏شود. لازم نیست همۀ عوارض در این مقولاتى كه ما در اینجا داریم، این مقولات بر ماده و صورت </w:t>
      </w:r>
      <w:r>
        <w:rPr>
          <w:rStyle w:val="Arabi"/>
          <w:rtl w:val="0"/>
          <w:lang w:val="fa-IR"/>
        </w:rPr>
        <w:t xml:space="preserve">بما أنّهما مادة و صورة</w:t>
      </w:r>
      <w:r>
        <w:rPr>
          <w:rtl w:val="0"/>
          <w:lang w:val="fa-IR"/>
        </w:rPr>
        <w:t xml:space="preserve"> است حاكم شود، بلكه ما مى‏توانیم بسیارى از این عوارض را بر جوهر </w:t>
      </w:r>
      <w:r>
        <w:rPr>
          <w:rStyle w:val="Arabi"/>
          <w:rtl w:val="0"/>
          <w:lang w:val="fa-IR"/>
        </w:rPr>
        <w:t xml:space="preserve">بما هو جوهرٌ</w:t>
      </w:r>
      <w:r>
        <w:rPr>
          <w:rtl w:val="0"/>
          <w:lang w:val="fa-IR"/>
        </w:rPr>
        <w:t xml:space="preserve"> عارض كنیم. خب مسلّم است که بعضى از این مقولات است که در قالب ماده مى‏گنجد مانند مقولۀ متى و مقولۀ أین یا مانند مقولۀ حجم، سطح، خط و امثال‌ذلك كه اینها از انواع كم هستند و اینها بر ماده </w:t>
      </w:r>
      <w:r>
        <w:rPr>
          <w:rStyle w:val="Arabi"/>
          <w:rtl w:val="0"/>
          <w:lang w:val="fa-IR"/>
        </w:rPr>
        <w:t xml:space="preserve">بما هو ماده</w:t>
      </w:r>
      <w:r>
        <w:rPr>
          <w:rtl w:val="0"/>
          <w:lang w:val="fa-IR"/>
        </w:rPr>
        <w:t xml:space="preserve"> تعلّق مى‏گیرد. ولى بعضى از انواع كم اختصاص به ماده ندارند؛ مانند عدد، عدد یكى از انواع كم است که به تعیّن جوهرى برمى‏گردد نه به نحوۀ تعیّن كه عبارت از تعیّن صورى و مادى باشد یا تعیّن تجردى باشد، بلكه </w:t>
      </w:r>
      <w:r>
        <w:rPr>
          <w:rStyle w:val="Arabi"/>
          <w:rtl w:val="0"/>
          <w:lang w:val="fa-IR"/>
        </w:rPr>
        <w:t xml:space="preserve">بنفس التعیّن</w:t>
      </w:r>
      <w:r>
        <w:rPr>
          <w:rtl w:val="0"/>
          <w:lang w:val="fa-IR"/>
        </w:rPr>
        <w:t xml:space="preserve">، كم به عنوان عدد تعلق مى‏گیرد. و ما مى‏بینیم كه در عقول مجردّه و صور نوریّه، عدد در اینجا به‌كار رفته است مانند: ﴿</w:t>
      </w:r>
      <w:r>
        <w:rPr>
          <w:rtl w:val="0"/>
          <w:lang w:val="fa-IR"/>
        </w:rPr>
        <w:t xml:space="preserve">وَيَحۡمِلُ عَرۡشَ رَبِّكَ فَوۡقَهُمۡ يَوۡمَئِذٖ ثَمَٰنِيَةٞ﴾</w:t>
      </w:r>
      <w:r>
        <w:rPr>
          <w:rStyle w:val="FootnoteReference"/>
        </w:rPr>
        <w:footnoteReference w:id="2"/>
      </w:r>
      <w:r>
        <w:rPr>
          <w:rtl w:val="0"/>
          <w:lang w:val="fa-IR"/>
        </w:rPr>
        <w:t xml:space="preserve"> </w:t>
      </w:r>
      <w:r>
        <w:rPr>
          <w:rtl w:val="0"/>
          <w:lang w:val="fa-IR"/>
        </w:rPr>
        <w:t xml:space="preserve">در اینجا به‌كار رفته است، یا ﴿</w:t>
      </w:r>
      <w:r>
        <w:rPr>
          <w:rtl w:val="0"/>
          <w:lang w:val="fa-IR"/>
        </w:rPr>
        <w:t xml:space="preserve">إِذۡ يَتَلَقَّى ٱلۡمُتَلَقِّيَانِ عَنِ ٱلۡيَمِينِ وَعَنِ ٱلشِّمَالِ قَعِيدٞ * مَّا يَلۡفِظُ مِن قَوۡلٍ إِلَّا لَدَيۡهِ رَقِيبٌ عَتِيدٞ</w:t>
      </w:r>
      <w:r>
        <w:rPr>
          <w:rtl w:val="0"/>
          <w:lang w:val="fa-IR"/>
        </w:rPr>
        <w:t xml:space="preserve">﴾</w:t>
      </w:r>
      <w:r>
        <w:rPr>
          <w:rStyle w:val="FootnoteReference"/>
        </w:rPr>
        <w:footnoteReference w:id="3"/>
      </w:r>
      <w:r>
        <w:rPr>
          <w:rtl w:val="0"/>
          <w:lang w:val="fa-IR"/>
        </w:rPr>
        <w:t xml:space="preserve"> در همۀ این موارد عدد به‌كار رفته است، یا در جنگ‏ بدر دارد که ﴿</w:t>
      </w:r>
      <w:r>
        <w:rPr>
          <w:rtl w:val="0"/>
          <w:lang w:val="fa-IR"/>
        </w:rPr>
        <w:t xml:space="preserve">بِثَلَٰثَةِ ءَالَٰفٖ مِّنَ ٱلۡمَلَٰٓئِكَةِ مُنزَلِينَ</w:t>
      </w:r>
      <w:r>
        <w:rPr>
          <w:rtl w:val="0"/>
          <w:lang w:val="fa-IR"/>
        </w:rPr>
        <w:t xml:space="preserve">﴾</w:t>
      </w:r>
      <w:r>
        <w:rPr>
          <w:rStyle w:val="FootnoteReference"/>
        </w:rPr>
        <w:footnoteReference w:id="4"/>
      </w:r>
      <w:r>
        <w:rPr>
          <w:rtl w:val="0"/>
          <w:lang w:val="fa-IR"/>
        </w:rPr>
        <w:t xml:space="preserve"> و هلمّ جرّا.</w:t>
      </w:r>
    </w:p>
    <w:p>
      <w:pPr/>
      <w:r>
        <w:rPr>
          <w:rtl w:val="0"/>
          <w:lang w:val="fa-IR"/>
        </w:rPr>
        <w:t xml:space="preserve">بنابراین این </w:t>
      </w:r>
      <w:r>
        <w:rPr>
          <w:rStyle w:val="Arabi"/>
          <w:rtl w:val="0"/>
          <w:lang w:val="fa-IR"/>
        </w:rPr>
        <w:t xml:space="preserve">كم بما أنّه كمٌ</w:t>
      </w:r>
      <w:r>
        <w:rPr>
          <w:rtl w:val="0"/>
          <w:lang w:val="fa-IR"/>
        </w:rPr>
        <w:t xml:space="preserve"> این‌طور نیست كه فقط به ماده تعلق بگیرد و از عوارض ماده باشد و از مقولاتى باشد كه اختصاص به مادّه دارد؛ نه‌خیر، بسیارى از مقولات ما جهت مادى ندارند؛ من‌باب‌مثال مقولۀ اضافه هم در مورد ماده و صورت هست و هم در مورد مبدعات و مجردات هست یا مقولۀ حركت هم در مبدعات هست و هم در غیر مبدعات كه ماده و صورت باشد هست. البته اگر حركت، حركت كمّى باشد آن حركت كمّى در ماده و صورت هست اما اگر حركت كیفى باشد، در مبدعات هم حركت در كیف پیدا مى‏شود. خود كیف هم اختصاص به ماده ندارد، ممكن است در مبدعات و صور نوریّه و جوهریّۀ منعزلۀ از مادیّه هم كیف داشته باشیم. من‌باب‌مثال این علومى كه الآن وجود دارد، این تغییر و تحولات و تبدّلاتی كه در ذوات جوهریّۀ مجرّده هست همه از مقولۀ كیف است. بله، زمان در مقولۀ مبدعات نیست، مكان در مقولۀ مبدعات و در صور نوریه و عقول مفارقه و امثال‌ذلك نیست.</w:t>
      </w:r>
    </w:p>
    <w:p>
      <w:pPr/>
      <w:r>
        <w:rPr>
          <w:rtl w:val="0"/>
          <w:lang w:val="fa-IR"/>
        </w:rPr>
        <w:t xml:space="preserve">بناءعلی‌هذا اگر ما تعریف جوهر را تعریف صحیحى بكنیم كه جوهر عبارت از حدود ماهوى یك تعیّن است ـ عنایت كنید که گفتیم: حدود ماهوی یک تعین! چون در مورد پروردگار متعال ما حدود ماهوى نداریم، در آنجا هویّت داریم نه ماهویّت. ولى در آنجا باز تعیّن داریم که حالا عرض می‌کنم ـ اگر ما این‌طور تصوّر كنیم بنابراین مى‏توانیم بگوییم كه این مقولات بر جوهر حمل مى‏شوند و بر عوارضى كه بر جوهر عارض مى‏شوند، و سبقت موضوعى را در اینجا لازم دارد و این فقط اختصاص به عالم مادّه و صورت و كون و فساد ندارد.</w:t>
      </w:r>
    </w:p>
    <w:p>
      <w:pPr>
        <w:pStyle w:val="Heading6"/>
      </w:pPr>
      <w:r>
        <w:rPr>
          <w:rtl w:val="0"/>
          <w:lang w:val="fa-IR"/>
        </w:rPr>
        <w:t xml:space="preserve">عدم منافاتِ تعین وجود حق با تعینات محدود</w:t>
      </w:r>
    </w:p>
    <w:p>
      <w:pPr/>
      <w:r>
        <w:rPr>
          <w:rtl w:val="0"/>
          <w:lang w:val="fa-IR"/>
        </w:rPr>
        <w:t xml:space="preserve">در بحث تعیّن عرض شد که لازم است كه وجود در خارج تعین پیدا كند تا اینكه شما بتوانید موجودٌ را بر آن تعیّن حمل كنید. پس ما اگر در یك جا بخواهیم‏ وجود بلاتعیّن لحاظ كنیم، این وجود ما مبهم مى‏شود و صرفاً یك تصوّر ذهنى خواهد بود، نه‌اینكه یك تحقق خارجى؛ سواءٌ اینكه این تعیّن دایره‏اش ضیق یا وسیع باشد، این تعیّن علم جزئى یا علم كلى باشد، این تعیّن قدرت و قوۀ جزئى یا قدرت و قوۀ كلى باشد، از این نقطه نظر فرقی نمى‌كند. الاّ اینكه مسئله در اینجا به نفس تعیّن برمى‏گردد، یعنى تعینى بالاخره در عالم وجود داشته باشد.</w:t>
      </w:r>
    </w:p>
    <w:p>
      <w:pPr/>
      <w:r>
        <w:rPr>
          <w:rtl w:val="0"/>
          <w:lang w:val="fa-IR"/>
        </w:rPr>
        <w:t xml:space="preserve">خوب دقت کنید! از اینجا مى‏خواهیم به یك نكته‏اى منتقل بشویم كه در جواب اشكال فخر رازى مرحوم آخوند این مطلب را مطرح مى‏كنند. بنابراین اگر آن وجود حقیقى كه وجود منبسط است بخواهد تحقّق داشته باشد، بنابراین این وجود متعیّن خواهد بود. ما وجودى كه اسمش را از یك طرف وجود حق بگذاریم و از یك طرف آن وجود، نه قابل اشاره و نه قابل براى ادراك باشد و نه قابل براى تحقق خارجى باشد ما یک‌هم‌چنین وجودى را نداریم. آن وجودى وجود حق است كه خارج از آن وجود متحقّق است، و آن طبعاً مبهم نخواهد بود. چون مبهم، كلى طبیعى است و كلى طبیعى، تحقق خارجى ندارد </w:t>
      </w:r>
      <w:r>
        <w:rPr>
          <w:rStyle w:val="Arabi"/>
          <w:rtl w:val="0"/>
          <w:lang w:val="fa-IR"/>
        </w:rPr>
        <w:t xml:space="preserve">إلاّ بتحقّق مصادیقه</w:t>
      </w:r>
      <w:r>
        <w:rPr>
          <w:rtl w:val="0"/>
          <w:lang w:val="fa-IR"/>
        </w:rPr>
        <w:t xml:space="preserve">. پس اگر وجود، وجود مبهم باشد، این وجود مبهم ماهیّت خواهد بود و وجود كه ماهیت نیست. بنابراین وجود از نقطه نظر تحقق خارجى نمی‌تواند مبهم باشد و باید مشخّص باشد، و وقتى‏ كه مشخّص شد متعیّن خواهد بود.</w:t>
      </w:r>
    </w:p>
    <w:p>
      <w:pPr/>
      <w:r>
        <w:rPr>
          <w:rtl w:val="0"/>
          <w:lang w:val="fa-IR"/>
        </w:rPr>
        <w:t xml:space="preserve">حالا این دایرۀ تعیّن، یك دایرۀ وسیعى است. یعنى من‌باب‌مثال وجود این یک لیوان، وجودی است که تعین آن با تعیّن لیوان دیگر منافات دارد. همان‌طورى كه در بحث‌هاى روز گذشته عرض كردم. اما وجود حق، تعینى است كه آن تعین با تعیّن این لیوان منافات ندارد. این می‌شود وجود وسیع و آن می‌شود وجود ضیِّق. یعنى آن وجود حق </w:t>
      </w:r>
      <w:r>
        <w:rPr>
          <w:rStyle w:val="Arabi"/>
          <w:rtl w:val="0"/>
          <w:lang w:val="fa-IR"/>
        </w:rPr>
        <w:t xml:space="preserve">ببساطتِه و صرافتِه</w:t>
      </w:r>
      <w:r>
        <w:rPr>
          <w:rtl w:val="0"/>
          <w:lang w:val="fa-IR"/>
        </w:rPr>
        <w:t xml:space="preserve"> داراى یك تعیّن خارجى است كه در آن تعین خارجی، تعیّن این لیوان هم گنجانده شده است، تعیّن این كتاب هم گنجانده شده، تعیّن این پارچ هم در آنجا گنجانده شده است؛ این تعین حق است. پس اینجاست كه مى‏گوید: «به هرچه مى‏نگرم عكس رخ یار جلوه‏گر است»</w:t>
      </w:r>
      <w:r>
        <w:rPr>
          <w:rStyle w:val="FootnoteReference"/>
        </w:rPr>
        <w:footnoteReference w:id="5"/>
      </w:r>
      <w:r>
        <w:rPr>
          <w:rtl w:val="0"/>
          <w:lang w:val="fa-IR"/>
        </w:rPr>
        <w:t xml:space="preserve"> یعنى آنچه دارد جلوه مى‏كند تعینات خارجى است كه در ضمن تعیّن یار در اینجا نمود دارد. و آن تعیّن كه همان تعیّن‏ كلى و تعیّن سعى است، آن تعین عبارت از همان تحقّق وجود حضرت حق است.</w:t>
      </w:r>
    </w:p>
    <w:p>
      <w:pPr>
        <w:pStyle w:val="Heading6"/>
      </w:pPr>
      <w:r>
        <w:rPr>
          <w:rtl w:val="0"/>
          <w:lang w:val="fa-IR"/>
        </w:rPr>
        <w:t xml:space="preserve">تصور تعین وجود بسیط، دلیل ما بر وحدت واجب الوجود</w:t>
      </w:r>
    </w:p>
    <w:p>
      <w:pPr/>
      <w:r>
        <w:rPr>
          <w:rtl w:val="0"/>
          <w:lang w:val="fa-IR"/>
        </w:rPr>
        <w:t xml:space="preserve">به این مطلب كه ما رسیدیم متوجه این قضیّه مى‏شویم كه نفس تعیّن این وجود، اِباى از تعیّن وجود ثانى را مى‏كند. یعنى وقتى كه شما وجود را امر واحدى دانستید و او را قابل براى تركیب و مزج و خلط ندانستید، و تركیب و مزج را در ذات وجود مردود دانستید، نفس تعیّن خارجى این وجود، نفى دوئیّت از خود مى‏كند و نفى غیریت غیر را مى‏كند و طرد مماثل و مشابه با این وجود را خواهد كرد، چون وجود واحد است. و تعیّن این وجود یعنى تحقق خارجى این وجود، و تحقق خارجى این وجود ملازم با وحدت خواهد بود.</w:t>
      </w:r>
    </w:p>
    <w:p>
      <w:pPr/>
      <w:r>
        <w:rPr>
          <w:rtl w:val="0"/>
          <w:lang w:val="fa-IR"/>
        </w:rPr>
        <w:t xml:space="preserve">حالا که به اینجا رسیدیم، كلام بزرگان كه فرمودند: «خود تصوّر تعین وجود، ما را از اثبات وحدت براى واجب الوجود بى‌نیاز مى‏كند.» با این بیانى كه ما كردیم اینجا توجیه مى‏شود.</w:t>
      </w:r>
    </w:p>
    <w:p>
      <w:pPr>
        <w:pStyle w:val="Heading6"/>
      </w:pPr>
      <w:r>
        <w:rPr>
          <w:rtl w:val="0"/>
          <w:lang w:val="fa-IR"/>
        </w:rPr>
        <w:t xml:space="preserve">شبهۀ ابن‌کمونه در نقض قول کفایت صرف تعین ذات بر اثبات وحدت واجب الوجود</w:t>
      </w:r>
    </w:p>
    <w:p>
      <w:pPr/>
      <w:r>
        <w:rPr>
          <w:rtl w:val="0"/>
          <w:lang w:val="fa-IR"/>
        </w:rPr>
        <w:t xml:space="preserve">مرحوم آخوند در اینجا به نحوۀ این بیانى كه من الآن مى‏كنم، قبل از اینكه وارد این بشوند اعتراض دارند. ایشان مى‏گویند كه صرف تعیّن واجب، ما را بى‏نیاز از اقامۀ برهان بر اثبات وحدت واجب الوجود نمى‏كند، چون ممكن‏ است یك ‏حقائق متخالفۀ بالذاتى وجود داشته باشد.</w:t>
      </w:r>
    </w:p>
    <w:p>
      <w:pPr/>
      <w:r>
        <w:rPr>
          <w:rtl w:val="0"/>
          <w:lang w:val="fa-IR"/>
        </w:rPr>
        <w:t xml:space="preserve">همان‌طور كه ابن‌كمونه در اینجا این بحث را مطرح كرده است كه به آن افتخار الشیاطین مى‏گویند که در منظومه</w:t>
      </w:r>
      <w:r>
        <w:rPr>
          <w:rStyle w:val="FootnoteReference"/>
        </w:rPr>
        <w:footnoteReference w:id="6"/>
      </w:r>
      <w:r>
        <w:rPr>
          <w:rtl w:val="0"/>
          <w:lang w:val="fa-IR"/>
        </w:rPr>
        <w:t xml:space="preserve"> هم این بحث آمد. می‌گوید: چه اشكالى دارد كه یك حقایق متخالفۀ بالذاتى وجود داشته باشد؟! دو واجب داشته باشیم و اینها دو حقیقت متخالفۀ بالذاتى داشته باشند، مانند یزدان و اهرمن. یزدان خداى براى خیرات است، هر خیرى بیاید یزدان آن را فرستاده است، مثلاً شخصى ازدواج مى‏كند یزدان در اینجا دست به‌کار شده، و چند سال بعد از ازدواج که زن بیچاره مریض مى‏شود و می‌میرد، خب در اینجا آیا اهرمن آمده یا یزدان آمده است؟! اهرمن آمده است. البته بعضی‌ها می‌گویند: یزدان آمده چون زن مردن شانس می‌خواهد!! این زن فوت مى‏كند و این شوهر بیچاره تنها مى‏ماند. دوباره یک یزدانى پیدا مى‏شود می‌آید و یك حلیلۀ جمیلۀ جلیله‌ای را بر سر راه قرار مى‏دهد. خدا به انسان بچه‏اى مى‏دهد یزدان آمده است. بچه را از انسان مى‏گیرد اهرمن گرفته است. باران مى‏آید و همه‌جا سبز مى‏شود یزدان آورده است. خشكسالى و قحطى مى‏آید اهرمن آورده است. و همین‌طور هلمّ جرّا این تقسیم صفات به صفات قابل قبول و پذیرش براى انسان که به‌واسطۀ یزدان و صفات غیرملایم با طبع بشرى كه به‌واسطۀ اهرمن آمده است. و این مطلب سابق بر این بوده است. حالا فرض كنید که دو خدا داشته باشیم؛ یك خدا، خدای یزدان باشد که اصلاً منشأ خیر است و شرّ از او تراوش نمى‏كند و یك خداى اهرمن داشته باشیم که منشأ شر است و خیر از او تراوش نمى‏كند.</w:t>
      </w:r>
    </w:p>
    <w:p>
      <w:pPr/>
      <w:r>
        <w:rPr>
          <w:rtl w:val="0"/>
          <w:lang w:val="fa-IR"/>
        </w:rPr>
        <w:t xml:space="preserve">پس اینها واقعاً متخالف بالذات هستند. یعنی دو حقیقتى هستند كه تخالف ذاتى دارند، مثل آب و آتش می‌باشند كه طبیعت آتش سوزندگى است و طبیعت آب برودت است. طبیعت هیچ‌كدام تبدیل به طبیعت دیگر نخواهد شد. شما هیچ‌وقت آتش را پیدا نمى‏كنید كه دست روى آن بگیرید و بگویید: به‌به چه خنك است، آدم خوشش مى‏آید! اصلاً چنین چیزی متصور نیست، اصلاً ذات آتش اقتضای سوزندگى و حرارت می‌کند. و همین‌طور آبى را پیدا نمى‏كنید كه بگویید: چقدر دست آدم را مى‏سوزاند! اگر هم مى‏بینید كه آب داغ است به‌خاطر این است كه آتش در آن رفته و الآن داغ شده است. خود طبیعت آب، برودت است. حالا ما راجع به برودت صحبت نمى‏كنیم، مى‏گوییم: طبیعت آب رطوبت است. اینکه آبى را پیدا كنید و با اینكه دستتان تر است وقتی داخل آن برود خشك شود، یك‌هم‌چنین چیزى را ما نداریم. طبیعت آب رطوبت است. این تخالف ذاتى است.</w:t>
      </w:r>
    </w:p>
    <w:p>
      <w:pPr/>
      <w:r>
        <w:rPr>
          <w:rtl w:val="0"/>
          <w:lang w:val="fa-IR"/>
        </w:rPr>
        <w:t xml:space="preserve">در مورد الهین و در مورد دو تعیّن خارجى كه هردو متخالفین بالذات هستند بعضى از ملحدین قائل به این هستند كه هیچ دلیلى بر اینكه تحقّق خارجىِ آنها را نفى بكند نداریم؛ اینکه دو حقیقت متخالف بالذات باشند و هر دو حقیقت من جمیع الجهات با هم اختلاف داشته باشند و در یك مورد حتّى با هم اتّفاق نداشته باشند، پس مسئلۀ توحید چطور برای شما ثابت مى‏شود؟!</w:t>
      </w:r>
    </w:p>
    <w:p>
      <w:pPr>
        <w:pStyle w:val="Heading6"/>
      </w:pPr>
      <w:r>
        <w:rPr>
          <w:rtl w:val="0"/>
          <w:lang w:val="fa-IR"/>
        </w:rPr>
        <w:t xml:space="preserve">اشکال فخر رازی و جواب آن</w:t>
      </w:r>
    </w:p>
    <w:p>
      <w:pPr/>
      <w:r>
        <w:rPr>
          <w:rtl w:val="0"/>
          <w:lang w:val="fa-IR"/>
        </w:rPr>
        <w:t xml:space="preserve">البته فخر رازى یك اشتباهى در اینجا مرتكب شده است. ایشان گفته است كه اشکال ندارد که ما قائل باشیم بر اینكه وحدت واجب ‏الوجود، به‌واسطۀ تعیّن واجب‏ الوجود، همان موجب اثبات وحدت مصداقیّه در نوع واجب ‏الوجود مى‏شود و به‌واسطۀ تعیّن ما مى‏توانیم وحدت واجب الوجود را اثبات بكنیم.</w:t>
      </w:r>
    </w:p>
    <w:p>
      <w:pPr/>
      <w:r>
        <w:rPr>
          <w:rtl w:val="0"/>
          <w:lang w:val="fa-IR"/>
        </w:rPr>
        <w:t xml:space="preserve">البته آنچه موجب این خلط و اشتباه جناب فخر رازى شده این است كه واجب الوجود را داخل در ماهیات و انواع گرفته‏اند، و چون از یک طرف واجب الوجود را یك مفهوم سعى مى‏دانند و از طرف دیگر تعیّن را تعیّن واحد مى‏دانند گفته‏اند كه تعیّن واجب الوجود از قبیل وحدت مصداقى در نوع واحد است. یعنى واجب ‏الوجود یك نوع بیشتر ندارید، نه‌اینكه داخل در تحت انواعى باشد و آن انواع داخل در یك جنس عالى باشد. یك نوع دارد و این یك نوعش هم یك فرد دارد، مثل عنقا مى‏باشد. عنقا فعلاً یك نوع بیشتر ندارد، حیوانى است که داراى این خصوصیّت است و داخل در تحت یك جنس مافوق خود نیست، ولى از آن نظر كه ماهیت است قابل سعه و قابل فرض بر مصادیق كثیرین خواهد بود. و چون تصور افراد كثیره مستلزم تحقق ماهیّت است، پس واجب الوجود یك ماهیّت واحده‏اى است كه یك نوع است، و تعیّن خارجى او نافی و طارد مماثل و مشابه با مصداق دیگر خواهد بود. ایشان از این نقطه نظر داراى خلط شدند كه واجب الوجود را ماهیّت دانستند و در آنجایى كه ما ثابت كردیم كه وجود خارج از مقوله ماهیّت است و بلكه محقّق و معیّن ماهیت در خارج است بنابراین مفهوم واجب ‏الوجود یك مفهوم سعى نخواهد بود بلكه واجب الوجود عبارت از یك حقیقت واحدى است كه وجود، عین ذات اوست و ذات، عین وجود اوست پس تصوّر ماهیّت از واجب الوجود مستحیل است.</w:t>
      </w:r>
    </w:p>
    <w:p>
      <w:pPr/>
      <w:r>
        <w:rPr>
          <w:rtl w:val="0"/>
          <w:lang w:val="fa-IR"/>
        </w:rPr>
        <w:t xml:space="preserve">از این نقطه نظر به مطلب ایشان اشكال وارد مى‏شود ولى از آن نقطه نظر دیگر نه‌خیر، مطلب ایشان كاملاً صحیح است و همچون كلام مرحوم بوعلى كه در اینجا تعیّن خارجى را طارد براى مماثل مى‏داند و اثبات وحدت شخصیّه و بالصرافه براى ذات واجب ‏الوجود مى‏كند به تعیّن و تشخّص خارجى. یعنى ایشان هم مى‏فرمایند كه وقتى شما وجود را تصوّر كنید كه این وجود داراى یك تعیّن واحد است، نفس تصور او اقتضاى دوئیت را مى‏كند.</w:t>
      </w:r>
    </w:p>
    <w:p>
      <w:pPr/>
      <w:r>
        <w:rPr>
          <w:rtl w:val="0"/>
          <w:lang w:val="fa-IR"/>
        </w:rPr>
        <w:t xml:space="preserve">آن آقا كه مى‏گوید: دو حقیقت متخالفه داشته باشیم، آیا دو واجب ‏الوجود متخالف است یا نه؟ همین كه شما مى‏گویید: دو واجب ‏الوجود كه حقائقشان متخالفه است، همین‌كه شما این حرف را مى‏زنید، نفس تصوّر وجود و تعیّن او طرد ثانى خواهد كرد، دیگر نیاز نیست به اینكه شما دو حقیقت متخالفه تصوّر بكنید و بعد بحث را ببرید بر اینكه آن حقیقت متخالفه ما‌به‌الامتیازشان چیست و مابه‌الاشتراكشان چیست؛ چطور اینكه مرحوم آخوند راجع به این قضیّه بحث مى‏كنند. نه، نفس تصوّر وجود، [این اقتضا را دارد.] حالا یك‌وقت شما یك شیء را مقتضاى براى شیء دیگر بلاواسطه می‌دانید و یك‌وقت یک شیء را مقتضاى براى شیء دیگر به واسطه مى‏دانید؛ مثل اینكه «الف» مساوٍ «ب» و «ب» مساوٍ «ج» پس «الف» مساوٍ «ج» و یك‌وقت مى‏گوییم: «الف» مساوٍ «ج» فقط واسطه در اینجا نمى‏خورد. بله، ما هم در اینجا مى‏گوییم: نفس تصور واجب‏ الوجود و تعیّن واجب ‏الوجود طارد براى مماثل و مشابه خواهد بود. حالا نفس تصور، یك واسطه مى‏خورد؛ واسطۀ اوّل تصوّر حقیقت وجود است و واسطۀ دوم اینكه وجوب براى او هست و واسطۀ سوم اینكه وجود عین ماهیّتش است و واسطۀ چهارم اینكه وجود بدون تعیّن نمى‏شود پس تعین واجب براى وجود اقتضاى وحدت وجود را مى‏كند. و چون ما دو وجود نداریم. اگر دو وجود داشته باشیم لازمه‏اش تركیب است كه مباحثش را در گذشته گفتیم. بنابراین وجود، وجود واحد است و تعیّن وجود واحد اقتضای وحدت مصداقى براى این وجود واحد مى‏كند، این دیگر نیازى به این‌همه تشكیلات و برهان صدیقین و امثال‌ذالك كه آورده‏اند ندارد که بخواهیم صحبت کنیم.</w:t>
      </w:r>
    </w:p>
    <w:p>
      <w:pPr>
        <w:pStyle w:val="Heading6"/>
      </w:pPr>
      <w:r>
        <w:rPr>
          <w:rtl w:val="0"/>
          <w:lang w:val="fa-IR"/>
        </w:rPr>
        <w:t xml:space="preserve">برهان مرحوم آخوند بر وحدت واجب الوجود</w:t>
      </w:r>
    </w:p>
    <w:p>
      <w:pPr/>
      <w:r>
        <w:rPr>
          <w:rtl w:val="0"/>
          <w:lang w:val="fa-IR"/>
        </w:rPr>
        <w:t xml:space="preserve">درعین‌حال مرحوم آخوند در اینجا قائل شدند به اینكه باید بر وحدت واجب الوجود برهان آورد. برهان ایشان هم خیلی روشن است بر اینكه بالاخره آیا این دو حقیقت مخالف در مفهوم واجب الوجود شریك هستند یا خیر؟ اگر مابه‌الاشتراك عین مابه‌الاختلاف باشد پس از آنها نفى واجب الوجود كردید و اگر مابه‌الاختلاف جدا باشد و این از عوارض جزء باشد پس اثبات جزئیّت و تركیب در این وجود كردید، و تركیب اقتضای علّت و احتیاج مى‏كند. اگر این مابه‏الاختلاف خارج از حقیقت باشد، به‌عنوان عارض باشد، حالا عارض، یا معلول براى نفس ذات است كه در اینجا محال است، به جهت اینكه لازمه‏اش این است كه عارض مسبوق به خود ذات باشد، درحالی‌كه علّت همیشه قبل از معلول است و باید ذاتى وجود داشته باشد تا اینكه این ذات خودش موجد و مولّد عارض باشد، و در اینجا مسئله غیر از این است. اگر عارض از خارج بیاید، یعنى مابه‏الامتیاز از خارج بیاید پس احتیاج به یك علّت خارجى هست كه آن علت خارجی به این واجب الوجود تعیّن بدهد. درهرحال در ذات واجب الوجود اشكال لازم مى‏آید. مرحوم آخوند با این برهان مطلب را اثبات كردند. برهانى كه ما آوردیم مافوق لِم بود. یعنی ما در آنجا از نفس حقیقت خود وجود براى اثبات وحدت استفاده كردیم، اما مرحوم آخوند از بحث از عوارض و احتیاج این وجود به تعیّن استفاده كردند. یعنى از باب اینكه اگر دو حقیقت متخالفه داشته باشیم، خود وجود باید یك مابه‌الاشتراك و مابه‌الامتیاز داشته باشد؛ بالاخره هردو واجب الوجود هستند. اگرچه در همین مسئله یك شبهه‌اى هست كه در معناى انتزاع و عدم انتزاع است که فردا إن‌شاء‌الله بحث مى‏كنیم.</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130.</w:t>
      </w:r>
    </w:p>
  </w:footnote>
  <w:footnote w:id="2">
    <w:p>
      <w:pPr>
        <w:pStyle w:val="FootnoteText"/>
      </w:pPr>
      <w:r>
        <w:rPr>
          <w:rStyle w:val="FootnoteReference"/>
        </w:rPr>
        <w:footnoteRef/>
      </w:r>
      <w:r>
        <w:t xml:space="preserve"> </w:t>
      </w:r>
      <w:r>
        <w:rPr>
          <w:rtl w:val="0"/>
          <w:lang w:val="fa-IR"/>
        </w:rPr>
        <w:t xml:space="preserve">. سوره الحاقه (69) آیه 17. </w:t>
      </w:r>
      <w:r>
        <w:rPr>
          <w:rtl w:val="0"/>
          <w:lang w:val="fa-IR"/>
        </w:rPr>
        <w:t xml:space="preserve">معاد شناسى،</w:t>
      </w:r>
      <w:r>
        <w:rPr>
          <w:rtl w:val="0"/>
          <w:lang w:val="fa-IR"/>
        </w:rPr>
        <w:t xml:space="preserve"> ج ‏3، ص 142:</w:t>
      </w:r>
    </w:p>
    <w:p>
      <w:pPr>
        <w:pStyle w:val="FootnoteText"/>
      </w:pPr>
      <w:r>
        <w:rPr>
          <w:rtl w:val="0"/>
          <w:lang w:val="fa-IR"/>
        </w:rPr>
        <w:t xml:space="preserve">«فرشتگان در آن روز در اطراف‏ آسمان‌اند، و در آن روز عرش پروردگار تو را كه عالم هستى و كاخ وجود یا عالم مشیّت الهیّه باشد، هشت فرشته بر بالاى خود حمل مى‏كنند.»</w:t>
      </w:r>
    </w:p>
  </w:footnote>
  <w:footnote w:id="3">
    <w:p>
      <w:pPr>
        <w:pStyle w:val="FootnoteText"/>
      </w:pPr>
      <w:r>
        <w:rPr>
          <w:rStyle w:val="FootnoteReference"/>
        </w:rPr>
        <w:footnoteRef/>
      </w:r>
      <w:r>
        <w:t xml:space="preserve"> </w:t>
      </w:r>
      <w:r>
        <w:rPr>
          <w:rtl w:val="0"/>
          <w:lang w:val="fa-IR"/>
        </w:rPr>
        <w:t xml:space="preserve">. سوره ق (50) آیه 17 ـ 18. </w:t>
      </w:r>
      <w:r>
        <w:rPr>
          <w:rtl w:val="0"/>
          <w:lang w:val="fa-IR"/>
        </w:rPr>
        <w:t xml:space="preserve">معاد شناسى</w:t>
      </w:r>
      <w:r>
        <w:rPr>
          <w:rtl w:val="0"/>
          <w:lang w:val="fa-IR"/>
        </w:rPr>
        <w:t xml:space="preserve">، ج ‏1، ص 87:</w:t>
      </w:r>
    </w:p>
    <w:p>
      <w:pPr>
        <w:pStyle w:val="FootnoteText"/>
      </w:pPr>
      <w:r>
        <w:rPr>
          <w:rtl w:val="0"/>
          <w:lang w:val="fa-IR"/>
        </w:rPr>
        <w:t xml:space="preserve">«در آن هنگامى كه دو فرشته بزرگوار ما كه از طرف راست و چپ نشسته و بر اعمال خیر و شرّ او اطّلاع دارند، هر فعلى كه از نیك و بد انجام دهد تلقّى نموده و بگیرند و ضبط كنند * هیچ گفتارى از او سر نزند مگر آنكه آن دو فرشته رقیب و عتید مراقب و حاضر بوده و در ضبط آن دریغ ننمایند.»</w:t>
      </w:r>
    </w:p>
  </w:footnote>
  <w:footnote w:id="4">
    <w:p>
      <w:pPr>
        <w:pStyle w:val="FootnoteText"/>
      </w:pPr>
      <w:r>
        <w:rPr>
          <w:rStyle w:val="FootnoteReference"/>
        </w:rPr>
        <w:footnoteRef/>
      </w:r>
      <w:r>
        <w:t xml:space="preserve"> </w:t>
      </w:r>
      <w:r>
        <w:rPr>
          <w:rtl w:val="0"/>
          <w:lang w:val="fa-IR"/>
        </w:rPr>
        <w:t xml:space="preserve">. سوره آل عمران (3) آیه 124. </w:t>
      </w:r>
      <w:r>
        <w:rPr>
          <w:rtl w:val="0"/>
          <w:lang w:val="fa-IR"/>
        </w:rPr>
        <w:t xml:space="preserve">معاد شناسى</w:t>
      </w:r>
      <w:r>
        <w:rPr>
          <w:rtl w:val="0"/>
          <w:lang w:val="fa-IR"/>
        </w:rPr>
        <w:t xml:space="preserve">، ج ‏3، ص 141:</w:t>
      </w:r>
    </w:p>
    <w:p>
      <w:pPr>
        <w:pStyle w:val="FootnoteText"/>
      </w:pPr>
      <w:r>
        <w:rPr>
          <w:rtl w:val="0"/>
          <w:lang w:val="fa-IR"/>
        </w:rPr>
        <w:t xml:space="preserve">«پروردگار شما با سه هزار نفر از فرشتگان شما را یارى دهد.»</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11، با قدری اختلاف: «ما در پیاله عکس رخ یار دیده‌ایم»</w:t>
      </w:r>
    </w:p>
    <w:p>
      <w:pPr>
        <w:pStyle w:val="FootnoteText"/>
      </w:pPr>
      <w:r>
        <w:rPr>
          <w:rtl w:val="0"/>
          <w:lang w:val="fa-IR"/>
        </w:rPr>
        <w:t xml:space="preserve">؛ </w:t>
      </w:r>
      <w:r>
        <w:rPr>
          <w:rtl w:val="0"/>
          <w:lang w:val="fa-IR"/>
        </w:rPr>
        <w:t xml:space="preserve">دیوان شیخ بهایی</w:t>
      </w:r>
      <w:r>
        <w:rPr>
          <w:rtl w:val="0"/>
          <w:lang w:val="fa-IR"/>
        </w:rPr>
        <w:t xml:space="preserve">، مخمس، با قدری اختلاف: «یعنی همه جا عکس رخ یار توان دید»</w:t>
      </w:r>
    </w:p>
    <w:p>
      <w:pPr>
        <w:pStyle w:val="FootnoteText"/>
      </w:pPr>
      <w:r>
        <w:rPr>
          <w:rtl w:val="0"/>
          <w:lang w:val="fa-IR"/>
        </w:rPr>
        <w:t xml:space="preserve">؛ </w:t>
      </w:r>
      <w:r>
        <w:rPr>
          <w:rtl w:val="0"/>
          <w:lang w:val="fa-IR"/>
        </w:rPr>
        <w:t xml:space="preserve">دیوان بلند اقبال</w:t>
      </w:r>
      <w:r>
        <w:rPr>
          <w:rtl/>
          <w:lang w:val="fa-IR"/>
        </w:rPr>
        <w:t xml:space="preserve">، غزل 57، با قدری اختلاف: «هرچه را می‌نگرم عکس رخ یار من است».</w:t>
      </w:r>
    </w:p>
  </w:footnote>
  <w:footnote w:id="6">
    <w:p>
      <w:pPr>
        <w:pStyle w:val="FootnoteText"/>
      </w:pPr>
      <w:r>
        <w:rPr>
          <w:rStyle w:val="FootnoteReference"/>
        </w:rPr>
        <w:footnoteRef/>
      </w:r>
      <w:r>
        <w:t xml:space="preserve"> </w:t>
      </w:r>
      <w:r>
        <w:rPr>
          <w:rtl w:val="0"/>
          <w:lang w:val="fa-IR"/>
        </w:rPr>
        <w:t xml:space="preserve">. رجوع شود به شرح منظومۀ استاد محترم و معزز، دروس یکصد و پنجاه و پنج و یکصد و پنجاه و شش.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