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پنجاه و دوم</w:t>
      </w:r>
    </w:p>
    <w:p>
      <w:pPr>
        <w:pStyle w:val="Heading5"/>
      </w:pPr>
      <w:r>
        <w:rPr>
          <w:rtl w:val="0"/>
          <w:lang w:val="fa-IR"/>
        </w:rPr>
        <w:t xml:space="preserve">ثبوت مواد ثلاث در خارج</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الجوابُ یُستفادُ ممّا سَبَقَ مِن الفرقِ بینَ معنَیی الوجودِ الرابطی و أنّ أحدَهما و هو الوجودُ الذی فی الهلیاتِ المركبةِ غیرُ الآخرِ و هو وجودُ الأعراضِ و الصورُ الحالّةُ.</w:t>
      </w:r>
    </w:p>
    <w:p>
      <w:pPr>
        <w:pStyle w:val="Heading6"/>
      </w:pPr>
      <w:r>
        <w:rPr>
          <w:rtl w:val="0"/>
          <w:lang w:val="fa-IR"/>
        </w:rPr>
        <w:t xml:space="preserve">معنای انتزاعی بودن و رابط بودن جهات ثلاث</w:t>
      </w:r>
    </w:p>
    <w:p>
      <w:pPr/>
      <w:r>
        <w:rPr>
          <w:rtl w:val="0"/>
          <w:lang w:val="fa-IR"/>
        </w:rPr>
        <w:t xml:space="preserve">تتمۀ مطلبى را كه ایشان در بحث ثبوت مواد ثلاث در خارج بیان كرده‏اند به اینجا رسید كه این معانى ثلاثه كه عبارت از وجوب و امكان و امتناع است، اینها از امور انتزاعى هستند و وجود اینها وجود رابط است، نه وجود رابطى. چون در وجود رابطى، خود نفس آن محمول به‌عنوان یك موجود فى‌نفسه ـ منتها فى‌نفسه و لغیره ـ مورد لحاظ قرار مى‏گیرد؛ مانند وجود نعتى كه وجودشان وجود رابطى است. وجود آنها یعنى وجود بیاضیت و سوادیت فى‌نفسه است، اما وجود آنها وجود فى‌غیره است یعنى لغیره است. یعنى نفس بیاض فى‌حدنفسه براى خود استقلالى جداى از آن وجود معروض ندارد و اگر بیاض بخواهد تاج كرامتى بر سر خود بگذارد باید آن تاج كرامت را در سایۀ معروض كه قرطاس است بر سر بگذارد. بیاض نمى‏تواند به‌تنهایى عرض اندام كند. وجود فى‌نفسۀ بیاض براى قرطاس است ولى درهرحال وجود فى‌نفسه دارد.</w:t>
      </w:r>
    </w:p>
    <w:p>
      <w:pPr/>
      <w:r>
        <w:rPr>
          <w:rtl w:val="0"/>
          <w:lang w:val="fa-IR"/>
        </w:rPr>
        <w:t xml:space="preserve">اما امور انتزاعى مانند ربط در قضایا بین موضوع و محمول یا اوصاف انتزاعیه‏اى كه ما این اوصاف انتزاعیه را از كیفیت ربط بین موضوع و محمول به‌دست مى‏آوریم، مانند امكان و وجوب، مى‏گوییم: «</w:t>
      </w:r>
      <w:r>
        <w:rPr>
          <w:rStyle w:val="Arabi"/>
          <w:rtl w:val="0"/>
          <w:lang w:val="fa-IR"/>
        </w:rPr>
        <w:t xml:space="preserve">الله موجودٌ</w:t>
      </w:r>
      <w:r>
        <w:rPr>
          <w:rtl w:val="0"/>
          <w:lang w:val="fa-IR"/>
        </w:rPr>
        <w:t xml:space="preserve">»، از ارتباط بین الله و موجود و از كیفیتش معناى وجوب را به ملاحظاتى انتزاع مى‏كنیم. یا اینكه مى‏گوییم: «</w:t>
      </w:r>
      <w:r>
        <w:rPr>
          <w:rStyle w:val="Arabi"/>
          <w:rtl w:val="0"/>
          <w:lang w:val="fa-IR"/>
        </w:rPr>
        <w:t xml:space="preserve">زیدٌ موجودٌ</w:t>
      </w:r>
      <w:r>
        <w:rPr>
          <w:rtl w:val="0"/>
          <w:lang w:val="fa-IR"/>
        </w:rPr>
        <w:t xml:space="preserve">»، از ارتباط بین‏ زید و وجودش، مسئله‏اى را به‌نام امكان به ملاحظاتی انتزاع مى‏كنیم، و همین‌طور در مورد امتناع. در اینها که امور، امور انتزاعیه هستند، آیا اینها وجود دارند یا ندارند؟ مى‏گوییم: اینها وجود دارند. از یك طرف مى‏بینیم اینها یك وجودى دارند كه وجودشان وجود ذهنى است. یعنى ذهن، اولاً هم معناى امكان را مى‏فهمد و ثانیاً هم این معناى امكان را بر موضوع حمل مى‏كند. «</w:t>
      </w:r>
      <w:r>
        <w:rPr>
          <w:rStyle w:val="Arabi"/>
          <w:rtl w:val="0"/>
          <w:lang w:val="fa-IR"/>
        </w:rPr>
        <w:t xml:space="preserve">زیدٌ ممكن الوجود، زیدٌ ممكن القیام، زیدٌ ممكن الكتابة</w:t>
      </w:r>
      <w:r>
        <w:rPr>
          <w:rtl/>
          <w:lang w:val="fa-IR"/>
        </w:rPr>
        <w:t xml:space="preserve">». این امكانى را كه واسطۀ بین كتابت و زید است، ما می‌بینیم که ذهن، این امكان را بر آن ماهیت حمل مى‏كند. از یك طرف مى‏بینیم كه خود این امكان به‌عنوان یك مفهوم مستقل و متمایز از سایر مفاهیم در ذهن وجود دارد. آن معنایى را كه شما از امكان مى‏فهمید آن معنی را از پارچ و لیوان نمى‏فهمید. یعنى امكان یك مفهوم مستقل ذهنى مانند سایر مفاهیم است.</w:t>
      </w:r>
    </w:p>
    <w:p>
      <w:pPr/>
      <w:r>
        <w:rPr>
          <w:rtl w:val="0"/>
          <w:lang w:val="fa-IR"/>
        </w:rPr>
        <w:t xml:space="preserve">اما حالا در خارج می‌آییم مى‏بینیم آنچه ما در ذهنمان از امكان فهمیدیم در خارج هم همین‌طور است. یعنى در خارج هم ما یك امكانى داریم، من باب‌مثال یك زیدى داریم که نشسته است، هفتاد كیلو هم وزنش است، سفید هم است، ما سفیدى را هم بر زید حمل مى‌كنیم می‌گوییم: «</w:t>
      </w:r>
      <w:r>
        <w:rPr>
          <w:rStyle w:val="Arabi"/>
          <w:rtl w:val="0"/>
          <w:lang w:val="fa-IR"/>
        </w:rPr>
        <w:t xml:space="preserve">زیدٌ ابیض</w:t>
      </w:r>
      <w:r>
        <w:rPr>
          <w:rtl/>
          <w:lang w:val="fa-IR"/>
        </w:rPr>
        <w:t xml:space="preserve">». در اینجا هم زید وجود فى‌نفسه دارد و هم بیاض وجود فى‌نفسه دارد. البته وجود فى‌نفسه زید، لنفسه است ولى وجود فى‌نفسه بیاض، لغیره است. در این مشكل نیست، صحبت در این است كه مى‏گوییم: «</w:t>
      </w:r>
      <w:r>
        <w:rPr>
          <w:rStyle w:val="Arabi"/>
          <w:rtl w:val="0"/>
          <w:lang w:val="fa-IR"/>
        </w:rPr>
        <w:t xml:space="preserve">زیدٌ ممكن البیاضیة</w:t>
      </w:r>
      <w:r>
        <w:rPr>
          <w:rtl w:val="0"/>
          <w:lang w:val="fa-IR"/>
        </w:rPr>
        <w:t xml:space="preserve">» این بیاضیت براى زید امكان دارد، نه‌اینكه وجوب دارد، ضرورت ندارد. غیر از زید و غیر از بیاضیت یك مسئلۀ ثالثى را به‌نام امكان به ما نشان بدهید كه ما این معنی را متوجه بشویم! مى‏گوییم: این مسئله نشان دادنى نیست، فهمیدنى است، همین‌طورى نمى‏شود آن را نشان داد، تو خودت باید بفهمى. یعنى از دیدن زید و از دیدن بیاض و از اینكه بیاضیت عارض بر زید شده است و اینكه نبوده است و بعداً هم خواهد رفت، من حیث المجموع یک چیزی شما می‌فهمید! آنچه می‌فهمید چیست؟ اینكه عروض بیاض براى زید ضرورت ندارد، چون اگر ضرورت داشت چرا تا دیروز نبود؟! و چرا فردا نیست؟! بنابراین ما مى‏گوییم: عروض بیاض براى زید بالامكان است؛ این را من حیث المجموع مى‏فهمیم. اینكه ما مى‏گوییم: من حیث المجموع مى‏فهمیم این معناى انتزاع است. پس ذهن وقتى که این معنی را انتزاع مى‏كند، این مسئله یك امر واقعى مى‏شود نه تخیلى؛ ولى واقعىِ اعتبارى، واقعىِ انتزاعى، نه به‌معناى واقعىِ فى‌نفسه. منظور ما از واقعى در اینجا به‌معناى ثبوت است. یعنى یك امرى است كه ثابت است، ولى آن ثبوت قابل اشارۀ حسیه نیست و قابل موضوع واقع شدنِ خارجی یا محمول واقع شدنِ در خارج نیست. یعنى در خارج لباس تعین به‌خود نمى‏گیرد. ذهن، از مجموع احكام و مسائل من حیث المجموع این امر را انتزاع مى‏كند. اسم این را وجود رابط مى‏گذاریم.</w:t>
      </w:r>
    </w:p>
    <w:p>
      <w:pPr/>
      <w:r>
        <w:rPr>
          <w:rtl w:val="0"/>
          <w:lang w:val="fa-IR"/>
        </w:rPr>
        <w:t xml:space="preserve">البته با آن اشكالى كه قبلاً در مسئلۀ وجود رابط مطرح كردیم، صرف نظر از آن اشكال بنا بر مشى قوم، ما در وجود رابط یك موضوعى داریم که مثلاً زید اینجا هست و یك محمولى هم داریم، </w:t>
      </w:r>
      <w:r>
        <w:rPr>
          <w:rStyle w:val="Arabi"/>
          <w:rtl w:val="0"/>
          <w:lang w:val="fa-IR"/>
        </w:rPr>
        <w:t xml:space="preserve">زیدٌ قائمٌ</w:t>
      </w:r>
      <w:r>
        <w:rPr>
          <w:rtl w:val="0"/>
          <w:lang w:val="fa-IR"/>
        </w:rPr>
        <w:t xml:space="preserve">. حالا مى‏خواهیم این محمول را بر موضوع حمل كنیم، همین‌كه مى‏خواهیم بر موضوع حمل كنیم، یعنى یك ربطى بین محمول و موضوع ایجاد كنیم. این ربطى كه ایجاد مى‏كنیم آیا از پیش خود آورده‏ایم یا از خارج فهمیده‏ایم؟ مى‏گوییم: از خارج است. ایشان قائم بودند و حالا قائد شدند، ایشان قائد بودند و حالا كاتب شدند، ایشان كاتب بودند و حالا شاعر شدند. پس انتساب این موضوع به این محمول، اسم این نحوۀ انتساب را نحوۀ وجود رابط مى‏گذاریم. كه بنا بر اصطلاح صدرالمتألهین یكى از دو معناى وجود رابطى است. چون مرحوم صدرالمتألهین هرگونه انتزاع و هرگونه محمولى را صرف نظر از تعین خارجى آن موضوع، به‌معناى وجود رابطى گرفته‏اند. منتها وقتى که وجود رابطى را دو قسم مى‏كنند، یك قسمش را به كیفیتى قرار مى‏دهند كه وجودى است که اطلاق فى‌نفسه بر آن مى‏شود و انسان مى‏تواند از آن به‌عنوان كان تامه و هلیۀ بسیطه تعبیر بیاورد، مانند «</w:t>
      </w:r>
      <w:r>
        <w:rPr>
          <w:rStyle w:val="Arabi"/>
          <w:rtl w:val="0"/>
          <w:lang w:val="fa-IR"/>
        </w:rPr>
        <w:t xml:space="preserve">القرطاسُ ابیضٌ</w:t>
      </w:r>
      <w:r>
        <w:rPr>
          <w:rtl w:val="0"/>
          <w:lang w:val="fa-IR"/>
        </w:rPr>
        <w:t xml:space="preserve">» ما مى‏توانیم بیاض را به‌عنوان هلیۀ بسیطه بگوییم: «</w:t>
      </w:r>
      <w:r>
        <w:rPr>
          <w:rStyle w:val="Arabi"/>
          <w:rtl w:val="0"/>
          <w:lang w:val="fa-IR"/>
        </w:rPr>
        <w:t xml:space="preserve">هل البیاضُ موجودٌ</w:t>
      </w:r>
      <w:r>
        <w:rPr>
          <w:rtl w:val="0"/>
          <w:lang w:val="fa-IR"/>
        </w:rPr>
        <w:t xml:space="preserve">؟» یا «</w:t>
      </w:r>
      <w:r>
        <w:rPr>
          <w:rStyle w:val="Arabi"/>
          <w:rtl w:val="0"/>
          <w:lang w:val="fa-IR"/>
        </w:rPr>
        <w:t xml:space="preserve">كان البیاضُ موجودًا»</w:t>
      </w:r>
      <w:r>
        <w:rPr>
          <w:rtl w:val="0"/>
          <w:lang w:val="fa-IR"/>
        </w:rPr>
        <w:t xml:space="preserve"> به‌عنوان كان تامه، تعبیرى از این وجود بیاوریم. اما شما نمی‌توانید از این ارتباطِ بین «قرطاس بیاض است» با كان تامّه تعبیرى بیاورید. چطور می خواهید تعبیر بیاورید؟! چطور مى‏خواهید بگویید: ارتباط بین موضوع و محمول در عالم خارج وجود دارد؟! این نمى‏شود! در اینجاست كه ما باید یك كان ناقصه استخدام كنیم، باید هلیۀ مركبه را استخدام كنیم تا به این واسطه بتوانیم منظور خود را بفهمانیم. یعنى بگوییم: ارتباطى كه بین‏ قرطاس و بیاض موجود نبود، الآن این ارتباط هست؛ مثلاً مى‏گوییم: «</w:t>
      </w:r>
      <w:r>
        <w:rPr>
          <w:rStyle w:val="Arabi"/>
          <w:rtl w:val="0"/>
          <w:lang w:val="fa-IR"/>
        </w:rPr>
        <w:t xml:space="preserve">الآن كان القرطاسُ ابیضًا</w:t>
      </w:r>
      <w:r>
        <w:rPr>
          <w:rtl w:val="0"/>
          <w:lang w:val="fa-IR"/>
        </w:rPr>
        <w:t xml:space="preserve">» این بیاضیتى كه شما بر قرطاس حمل مى‏كنید و این ارتباطى را كه به وجود مى‏آورید، این ارتباط یك امر خارجى است، ولى امرش فى‌غیره است؛ اصلاً وجود فى‌نفسه ندارد. وجود او عین وجود فى‌غیرۀ در محمول و در موضوع است. مثل معانى حرفیه كه اصلاً وجود فى‌نفسه ندارند، وجود آنها عین وجود فى‌غیره است و از وجود فى‌نفسه اصلاً برخوردار نیستند، معناى ربطى بین موضوع و محمول در قضایاى خبریه هم وجود آنها وجود رابط است و اصلاً وجود فى‌نفسه ندارند، بلكه وجود آنها وجود فى‌غیره است. برخلاف قسم دوم كه وجود رابطى است، و در وجود رابطى وجود نعتى است و ما در وجود نعتى مى‏توانیم آن را به‌عنوان یك مسئلۀ مستقل ذكر كنیم.</w:t>
      </w:r>
    </w:p>
    <w:p>
      <w:pPr/>
      <w:r>
        <w:rPr>
          <w:rtl w:val="0"/>
          <w:lang w:val="fa-IR"/>
        </w:rPr>
        <w:t xml:space="preserve">حالا خود وجود امكان، نحوۀ وجود رابط است. یعنى نحوۀ وجود را اگر بخواهیم جزء تقسیمات ببریم، جزء وجود رابطى قرار نمى‏گیرد. چون ما نمى‏توانیم بگوییم: «</w:t>
      </w:r>
      <w:r>
        <w:rPr>
          <w:rStyle w:val="Arabi"/>
          <w:rtl w:val="0"/>
          <w:lang w:val="fa-IR"/>
        </w:rPr>
        <w:t xml:space="preserve">الامكانُ موجودٌ</w:t>
      </w:r>
      <w:r>
        <w:rPr>
          <w:rtl/>
          <w:lang w:val="fa-IR"/>
        </w:rPr>
        <w:t xml:space="preserve">». اصلاً «</w:t>
      </w:r>
      <w:r>
        <w:rPr>
          <w:rStyle w:val="Arabi"/>
          <w:rtl w:val="0"/>
          <w:lang w:val="fa-IR"/>
        </w:rPr>
        <w:t xml:space="preserve">الامكانُ موجودٌ</w:t>
      </w:r>
      <w:r>
        <w:rPr>
          <w:rtl w:val="0"/>
          <w:lang w:val="fa-IR"/>
        </w:rPr>
        <w:t xml:space="preserve">» برای ما معنی ندارد. بلكه امكان عبارت است از یك وصف انتزاعى كه از ارتباط بین موضوع و محمول براى انسان حاصل مى‏شود. اگرچه این معنی در ذهن به‌عنوان یك مفهوم مستقل از سایر مفاهیم، از وجود فى‌نفسه برخوردار است. البته در ذهن هست نه در خارج! اشتباه نكنید! وجود فى‌نفسه‏اش در ذهن هست نه در خارج. در خارج وجود فى‌نفسه ندارد، بلكه از معانى انتزاعى است. آن كه در خارج هست وجودش وجود فى‌غیره است، آن كه در ذهن هست وجودش وجود فى‌نفسه است و معنایش معناى انتزاعى است.</w:t>
      </w:r>
    </w:p>
    <w:p>
      <w:pPr/>
      <w:r>
        <w:rPr>
          <w:rtl w:val="0"/>
          <w:lang w:val="fa-IR"/>
        </w:rPr>
        <w:t xml:space="preserve">بنابراین در اینجا این مسئله روشن مى‏شود كه امكان و وجوب و امتناع و مانند اینها را قبول داریم كه از امور معدومه هستند، ولى نحوۀ وجود خارجى اینها را باید ببینیم چه وجودى است. ما هم قبول داریم كه امكان از امور عدمى است، منتها عدم نه به‌معناى سلب مطلق و نفى مطلق، بلكه اگر منظور شما از عدم، عدم به‌معناى نفى وجود عینى خارجى است ما این را قبول داریم و اگر به‌معناى نفى وجود و نفى مطلق است ما قبول نداریم. چون می‌بینیم که اینها در خارج وجود دارند ولى وجودشان فى‌غیره است. مگر هر چیز که در خارج هست حتماً باید وجود عینى داشته باشد؟! در خارج، ما یك زید داریم که ماشاءالله به این قد و قواره است! صفاتى هم داریم كه این صفات بر او حمل مى‏شود. ولى یك مسائلى هم داریم كه این مسائل جنبۀ عینى ندارد ولى ما آن را انتزاع مى‏كنیم. این زید داراى عیال است زن دارد، این زن داشتنِ زید یك مسئلۀ انتزاعى است كه ما از او انتزاع مى‏كنیم و بر این انتزاع، حكم بار مى‏كنیم. والا زید به‌جاى خودش و آن خانم مخدره هم به‌جاى خودش است، اینها چه ارتباطى به هم دارند؟! اینكه ما معناى زوجیت را انتزاع مى‏كنیم، اگر معنی یك معناى عدمى مطلق است بنابراین خیلى مسئله شیر تو شیر مى‏شود! اگر ما هر معناى انتزاعى را عدمى بگیریم، بر عدم هم كه هیچ حكمى بار نمى‏شود، بنابراین نه زوجیتى وجود دارد و نه چیز دیگرى! درحالى‌كه ما از زوجیت یك امر را انتزاع مى‏كنیم و بر آن حكم بار مى‏كنیم. این معنی همان معناى وجود رابط است، كه این وجود رابط عبارت از امور انتزاعى و اعتبارى است. البته بنا بر مبناى صحیح، هر امر انتزاعى یك منشأ عینى خارجى دارد و ما نباید آن منشأ عینى خارجى را از نظر دور بداریم. و این مسئله در عالم انشاء وقتی که شما صیغه‏هاى عقد را مى‏خوانید؛ چه صیغۀ عقد نكاح باشد و چه صیغۀ عقد معاملاتى و امثال‌ذلک باشد، اگر آن منشأ عینىِ خارجى را مدنظر قرار ندهید آن صیغه باطل خواهد بود. وقتى که شما بگویید: </w:t>
      </w:r>
      <w:r>
        <w:rPr>
          <w:rStyle w:val="Arabi"/>
          <w:rtl w:val="0"/>
          <w:lang w:val="fa-IR"/>
        </w:rPr>
        <w:t xml:space="preserve">«أنكحتُ موكّلتى لموكّلك على المهر» </w:t>
      </w:r>
      <w:r>
        <w:rPr>
          <w:rtl w:val="0"/>
          <w:lang w:val="fa-IR"/>
        </w:rPr>
        <w:t xml:space="preserve">معنایش چیست؟ همین یك لفظ «</w:t>
      </w:r>
      <w:r>
        <w:rPr>
          <w:rStyle w:val="Arabi"/>
          <w:rtl w:val="0"/>
          <w:lang w:val="fa-IR"/>
        </w:rPr>
        <w:t xml:space="preserve">انكحتُ</w:t>
      </w:r>
      <w:r>
        <w:rPr>
          <w:rtl w:val="0"/>
          <w:lang w:val="fa-IR"/>
        </w:rPr>
        <w:t xml:space="preserve">» گفتن كه نیست! چرا به‌جاى آن «</w:t>
      </w:r>
      <w:r>
        <w:rPr>
          <w:rStyle w:val="Arabi"/>
          <w:rtl w:val="0"/>
          <w:lang w:val="fa-IR"/>
        </w:rPr>
        <w:t xml:space="preserve">ضربتُ</w:t>
      </w:r>
      <w:r>
        <w:rPr>
          <w:rtl w:val="0"/>
          <w:lang w:val="fa-IR"/>
        </w:rPr>
        <w:t xml:space="preserve">» نمى‏گویید؟! چرا «</w:t>
      </w:r>
      <w:r>
        <w:rPr>
          <w:rStyle w:val="Arabi"/>
          <w:rtl w:val="0"/>
          <w:lang w:val="fa-IR"/>
        </w:rPr>
        <w:t xml:space="preserve">مشیتُ</w:t>
      </w:r>
      <w:r>
        <w:rPr>
          <w:rtl w:val="0"/>
          <w:lang w:val="fa-IR"/>
        </w:rPr>
        <w:t xml:space="preserve">» نمى‏گویید؟! چرا «</w:t>
      </w:r>
      <w:r>
        <w:rPr>
          <w:rStyle w:val="Arabi"/>
          <w:rtl w:val="0"/>
          <w:lang w:val="fa-IR"/>
        </w:rPr>
        <w:t xml:space="preserve">كتبتُ</w:t>
      </w:r>
      <w:r>
        <w:rPr>
          <w:rtl w:val="0"/>
          <w:lang w:val="fa-IR"/>
        </w:rPr>
        <w:t xml:space="preserve">» نمى‏گویید؟! این «</w:t>
      </w:r>
      <w:r>
        <w:rPr>
          <w:rStyle w:val="Arabi"/>
          <w:rtl w:val="0"/>
          <w:lang w:val="fa-IR"/>
        </w:rPr>
        <w:t xml:space="preserve">انكحتُ</w:t>
      </w:r>
      <w:r>
        <w:rPr>
          <w:rtl w:val="0"/>
          <w:lang w:val="fa-IR"/>
        </w:rPr>
        <w:t xml:space="preserve">» گفتن، عبارت از این است كه یك معنایى را در ذهن خودتان و در نفس خودتان عوض از آن موكِّل ایجاد مى‏كنید. حالا آن نكاح را که انجام مى‌دهید، یا عبارت از نفس آن عمل مخصوص باشد، چطور اینكه بعضى‌ها مى‏خواهند در عقد احتیاط كنند، مى‏گویند: منظور ما از نكاح در «انكحتُ» این است. خیلی خوب، چشم ما روشن! منظور شما در عالم اعتبار از نكاح این است! اما بنا بر آنچه به نظر مى‏رسد، منظور از نكاح نفس عمل مخصوص نیست بلكه نكاح عبارت است از همان علقۀ زوجیتى كه انسان آن علقه را در نفس خود و در وجدان خود احساس مى‏كند، و صرف یك تخیل نیست. اگر صرف یك تخیل بود كه مشكلی نبود. آن علقه هست كه شما از حریم اینها دفاع مى‏كنید و به‌خاطرشان پارچ آب را بر سر شخصی می‌زنید! به‌خاطر آن منشأ خارجى و آن مابازاء خارجى كه دارد.</w:t>
      </w:r>
    </w:p>
    <w:p>
      <w:pPr/>
      <w:r>
        <w:rPr>
          <w:rtl w:val="0"/>
          <w:lang w:val="fa-IR"/>
        </w:rPr>
        <w:t xml:space="preserve">روى‌این‌حساب این امكان هم جزء امور انتزاعى است كه ذهن آن امر انتزاعى را از مابازاء خارجی به‌دست مى‌آورد. لذا در باب نكاح شما مى‌بینید آنچه كه عاقد انجام مى‏دهد، این است که در ذهن و نفس خودش دست‌كارى‏هایى انجام مى‏دهد. مخدره و عروس خانم اینجا نشسته و چادرش هم روى سرش انداخته و دل در دلش نیست كه زودتر آقا بیاید و این عقد را بخواند، آقا پسر هم نشسته و دست كمى از او ندارد! حالا این عاقد نگاه به حال زار اینها می‌کند و می‌گوید: کاری کنیم که اینها از حال زار دربیایند!! هم آنها خودشان می‌دانند که یک مسئله‌ای باید انجام بشود و هنوز نشده و هم اینها می‌دانند. والا این‌طور که نبودند، راحت و بی‌خیال می‌نشستند و پا روی پا می‌انداختند! اما اینكه حال انتظار دارند، به‌خاطر این است که یک‌ چیزی در دلشان دارد خلجان مى‏كند و آن یك نحوه ابتعادی است كه آن ابتعاد به‌واسطۀ عدم تحقق یك مسئلۀ وجدانى است. این را دارند احساس می‌کنند. این آقای عاقد هم این را می‌داند و لذا مدام مسئله را بالا و پایین می‌کند! بعضی‌ها هستند که یک چیزی از این می‌گیرند و یک چیزی از آن می‌گیرند، می‌گویند: شیرینی ما یادتان نرود! آن بیچاره‌ها هم برای اینکه برسند می‌دهند! دیدید که شب عروسی طرف مدام می‌آید و پول می‌گیرد و داماد هم می‌دهد. لذا می‌گویند: شب عروسی خوب می‌شود تیغ زد! یکی اسپند می‌آورد پول می‌گیرد، قصاب می‌آید انعام می‌گیرد، آن یکی گل می‌آورد پول می‌گیرد، خلاصه هرچه در جیبش هست می‌دهد! آنجا بخشنده است! این معناى نفسى عبارت از همان كیفیتى است كه عاقد در نفس خود به‌وجود مى‏آورد. و با به‌وجود آوردن آن كیفیت، زن و شوهر كه قبلاً زن و شوهر نبودند وقتى كه مى‏بینند چنین مسئله‏اى انجام شد آنها هم این معنی را در نفس خودشان احساس مى‏كنند. پس این یك منشأ خارجى دارد! این‌طور خیال نكنید كه فقط یک امر انتزاعى و خارجى است! آن تعبیر مرحوم علامه طباطبائی ـ رضوان الله تعالی علیه ـ را در اینجا عرض کردیم. این بحث در اینجا تمام مى‏شود.</w:t>
      </w:r>
    </w:p>
    <w:p>
      <w:pPr>
        <w:pStyle w:val="Heading6"/>
      </w:pPr>
      <w:r>
        <w:rPr>
          <w:rtl w:val="0"/>
          <w:lang w:val="fa-IR"/>
        </w:rPr>
        <w:t xml:space="preserve">جمع بین قول مشائیین و رواقیین در وجود جهات ثلاث</w:t>
      </w:r>
    </w:p>
    <w:p>
      <w:pPr/>
      <w:r>
        <w:rPr>
          <w:rtl w:val="0"/>
          <w:lang w:val="fa-IR"/>
        </w:rPr>
        <w:t xml:space="preserve">مرحوم صدرالمتألهین در اینجا به یك مسئله‏اى اشاره مى‏كنند و آن مسئله عبارت از جمع بین دو قول است كه از یك طرف حكماء رواقیین هستند كه قائل به عدم وجود و تحقق جهات ثلاث در خارج بودند و قائل به عدم عقود و مواد قضایا در خارج بودند و مى‏گفتند كه اینها جنبۀ خارجى ندارد و صرفاً ذهنى هستند و وجود خارجى بر اینها صدق نمى‏كند. از آن طرف حكمای مشاء و طرفداران ارسطو كه قائل به وجود و ثبوت آنها بودند. در جمع بین این دو مسئله مرحوم صدرالمتألهین مى‏فرماید: كه اگر ما در آن مطالبى كه گفتیم بخواهیم قضاوتى كنیم، باید بگوییم که هردوی اینها اختلافى با هم ندارند. رواقیّین كه مى‏گویند: اینها وجود خارجى ندارند همان وجود رابطى آنها مورد نظر است كه وجود فى‌نفسه باشد. و اما مشائیین كه مى‏گویند: اینها تحقق خارجى و ثبوت خارجى دارند، تعبیر به وجود رابط مى‏آورند؛ چطور اینكه وجود رابط در خارج هست‏ ولى رابطى در خارج نیست، فى‌نفسه نیست، اینها وجوداتى در خارج هستند ولى وجود آنها همان وجود فى‌غیره براى موضوع و ارتباط بین موضوع و نسبت بین موضوع و محمول است. بنابراین اختلافى هم در اینجا وجود ندارد و اشكالى كه شیخ اشراق بر مشائیین مى‏گیرد كه قائل به وجود و تحقق و ثبوت خارجى هستند این اشكال در جاى خودش صحیح نمى‏نماید. دو مطلب دیگر را مرحوم آخوند ذكر مى‏کنند و ادامه مى‏دهند که اگر وقت باشد بیان می‌کنیم.</w:t>
      </w:r>
    </w:p>
    <w:p>
      <w:pPr>
        <w:pStyle w:val="NaghlegholMatn"/>
      </w:pPr>
      <w:r>
        <w:rPr>
          <w:rStyle w:val="Arabi"/>
          <w:rtl w:val="0"/>
          <w:lang w:val="fa-IR"/>
        </w:rPr>
        <w:t xml:space="preserve">و الجوابُ: یُستفادُ ممّا سَبَقَ مِن الفرقِ بینَ معنَیی الوجودِ الرابطی و أنّ أحدَهما و هو الوجودُ الذی فی الهلیاتِ المركبةِ غیرُ الآخرِ و هو وجودُ الأعراضِ و الصورُ الحالّةُ و أنّ قولَنا: وجودُ «ج» مثلاً هو بعینِه وجودُه لـ«ب» معناه غیرُ معنى قولِنا وجودُ «ج» فی نفسه هو أنّه موجودٌ لـ«ب» و أنّ «ج» فی الأولِ لابدّ و أن یكونَ مِن الأمورِ الموجودةِ فی أنفسِها لا بالعرضِ بخلافِ الثانی‏ و مَن لم یُحصِّلِ الفرقَ بینَ المعنیینِ تحَیَّرَ بل ربما یُسلِّمُ الفسادَ اللازمَ و التزَمَ و مَن حَقَّقَ الأمرَ یَعرِفُ أنّه قد یكونُ الشی‏ءُ ممتنعَ الوجودِ فی نفسِه بحسبِ الأعیانِ ممكنَ الوجودِ الرابطیِ بالقیاسِ إلى الغیرِ.</w:t>
      </w:r>
    </w:p>
    <w:p>
      <w:pPr>
        <w:pStyle w:val="NaghlegholMatn"/>
      </w:pPr>
      <w:r>
        <w:rPr>
          <w:rtl w:val="0"/>
          <w:lang w:val="fa-IR"/>
        </w:rPr>
        <w:t xml:space="preserve">«جواب از این مسئله كه وجود امكان و سایر مواد ثلاث وجود خارجى نیست و چون وجود خارجى نیست اعدام بر آنها صدق مى‏كند، این است که [از آنچه قبلاً در فرق بین دو معنای وجود رابطی بیان شد استفاه می‌شود که] وجودى كه در هلیات مركبه هست همان وجود رابط باشد، غیر از دیگرى است كه وجود رابطى باشد و وجود نعتى باشد، كه عبارت از وجود اعراض مانند بیاض و آن صورى كه حالّ بر موضوع هستند باشد. و اینكه ما مى‌گوییم: وجود «ج» بعینه برای «ب» است که وجود همان معناى رابط مى‏باشد غیر از معنایى است كه مى‏گوییم: وجود بیاض فى‌نفسه، وجود بیاض براى موضوع است كه مفاد كان تامه و هلیّۀ بسیطه باشد كه همان وجود نعتى و وجود عرضى است. و اینکه «ج» در آن اول كه هلیۀ مركبه و وجود رابطى باشد باید از امورى باشد كه وجود آن فى‌انفسها باشد، یعنى بالعرض وجود پیدا نكرده باشد؛ به‌خلاف دومى كه وجود آن وجود بالعرض است و نفس موجودیتش به او برمى‏گردد. (وجود «ج» بعینه وجود او براى «ب» است، این معنی معناى همان وجود رابطى و نعتى است. و وجود «ج» فى‌نفسه عبارت است از همان رابط بین دو قضیه است.)</w:t>
      </w:r>
    </w:p>
    <w:p>
      <w:pPr>
        <w:pStyle w:val="NaghlegholMatn"/>
      </w:pPr>
      <w:r>
        <w:rPr>
          <w:rtl w:val="0"/>
          <w:lang w:val="fa-IR"/>
        </w:rPr>
        <w:t xml:space="preserve">و كسى كه این معنی را نفهمد كه‏ یكى از اینها وجودش فى‌غیره است که همان وجود هلیۀ مركبه است و دیگرى وجودش وجود فى‌نفسه و لغیره است که وجودش وجود نعتى و وجود رابطى است، او نمی‌تواند ادراك كند و چه‌بسا تسلیم فساد مى‏شود و نفى وجود رابط را از خارج مى‏كند و نفى وجود امكان را در خارج مى‏كند، درحالى‌كه امكان در خارج هست؛ منتها نه به وجود نعتى بلكه به وجود رابط و به‌معناى حرفى و انتزاعى.</w:t>
      </w:r>
    </w:p>
    <w:p>
      <w:pPr>
        <w:pStyle w:val="NaghlegholMatn"/>
      </w:pPr>
      <w:r>
        <w:rPr>
          <w:rtl w:val="0"/>
          <w:lang w:val="fa-IR"/>
        </w:rPr>
        <w:t xml:space="preserve">و كسى كه معنی را بفهمد متوجه مى‏شود که گاهى شیء ممتنع الوجود فى‌نفسه و در خارج است نمى‏تواند تحقق داشته باشد؛ یعنى عینش در خارج ممتنع است. مانند زوجیت که عین زوجیت در خارج ممتنع است، اما همین ممكن الوجود است در قیاس با غیر.»</w:t>
      </w:r>
    </w:p>
    <w:p>
      <w:pPr/>
      <w:r>
        <w:rPr>
          <w:rtl w:val="0"/>
          <w:lang w:val="fa-IR"/>
        </w:rPr>
        <w:t xml:space="preserve">یعنى وقتى كه ما این را با غیر ملاحظه مى‏كنیم مى‏توانیم محمول براى قضیه قرار بدهیم و انتزاعِ یك معنایى را از ارتباط بین موضوع و بین انتسابش با بعضى از اوصاف برای این بكنیم. بنابراین هرچه در عالم خارج قابل اشارۀ حسیّه نیست دلیل نمى‏شود كه محمول براى قضایاى ما قرار نگیرد؛ نه، بسیارى از مسائل را نفس انتزاع مى‏كند و به‌واسطۀ انتزاع، محمول براى قضیه قرار مى‏دهد [درحالى‌كه آن مسئله در خارج] وجود ندارد.</w:t>
      </w:r>
    </w:p>
    <w:p>
      <w:pPr>
        <w:pStyle w:val="NaghlegholMatn"/>
      </w:pPr>
      <w:r>
        <w:rPr>
          <w:rStyle w:val="Arabi"/>
          <w:rtl w:val="0"/>
          <w:lang w:val="fa-IR"/>
        </w:rPr>
        <w:t xml:space="preserve">و مِن هاهنا أیضا نشَأت الشبهةُ التی أوردَها طائفةٌ مِن أهلِ الشغبِ و الجدالِ على المحصّلین مِن الفلاسفةِ العظامِ و هی أنّه إذا لم یكن للإمكانِ صورةٌ فی الأعیانِ لم یكن الممكنُ ممكنًا إلا فی الأذهانِ و فی اعتبارِ العقل فقط لا فی الأعیانِ فیلزَمُ أن یكونَ الممكنُ فی الخارجِ إما ممتنعًا أو واجبًا لعدمِ خروجِ شی‏ءٍ عن المنفصلةِ الحقیقیةِ و لك أن تدفَعَها بما تحصَّلَت أنّه لا یلزَمُ مِن صدقِ الحكمِ على الشی‏ءِ بمفهومٍ بحسبِ الأعیانِ أن یكونَ ذلك المفهومُ واقعًا فی الأعیانِ.</w:t>
      </w:r>
    </w:p>
    <w:p>
      <w:pPr>
        <w:pStyle w:val="NaghlegholMatn"/>
      </w:pPr>
      <w:r>
        <w:rPr>
          <w:rtl w:val="0"/>
          <w:lang w:val="fa-IR"/>
        </w:rPr>
        <w:t xml:space="preserve">«از اینجا آن شبهه ایجاد شده كه بعضى از اهل جدال بر محصّلین از فلاسفۀ عظام وارد كرده‏اند كه حكماى مشاء باشند، و آن اینکه اگر براى امكان صورتى در اعیان نباشد، (یعنى وقتى اشراقییّن آمدند و نفى وجود خارجى كردند، اینها گفتند كه ما اصلاً خلاف حرف شما را مى‏زنیم، شما مى‏گویید: امكان اصلاً در خارج وجود ندارد، ما مى‏گوییم: امكان در خارج باید وجود داشته باشد!) به این دلیل که اگر امكان در خارج یك صورت عینى نداشته باشد مثل بیاض و سواد، دیگر ممكن، ممكن نیست مگر در اذهان و در اعتبار عقل فقط، نه در اعیان. یعنى ممكن را فقط عقل مى‏فهمد ولى در خارج نمى‏فهمد. حالا ممكن در خارج یا ممتنع است یا واجب است، چون مسئله به یك قضیۀ منفصلۀ حقیقیه تقسیم مى‏شود. (ممكن كه در خارج وجود ندارد، پس آن كه در خارج هست، یا باید ممتنع باشد یا باید واجب باشد، چون از این دو مسئله خارج نیست. پس نسبت بین وجود و زید، یا باید بالامتناع باشد درصورتى‌كه مى‏بینیم زید هست، یا باید بالوجوب باشد درحالى‌كه مى‏بینیم زید دیروز نبوده است.) پس براى رفع محذور، یعنی برای خالی بودن مسئله از یك قضیۀ منفصله، ما باید بگوییم كه خود ممكن یك صورت خارجى در خارج دارد.</w:t>
      </w:r>
      <w:r>
        <w:rPr>
          <w:rStyle w:val="FootnoteReference"/>
        </w:rPr>
        <w:footnoteReference w:id="1"/>
      </w:r>
    </w:p>
    <w:p>
      <w:pPr>
        <w:pStyle w:val="NaghlegholMatn"/>
      </w:pPr>
      <w:r>
        <w:rPr>
          <w:rtl w:val="0"/>
          <w:lang w:val="fa-IR"/>
        </w:rPr>
        <w:t xml:space="preserve">شما این اشكال را دفع مى‏كنید به آنچه تحصیل كردید كه لازم نمى‏آید از اینكه شما بر شیئى حكمى به مفهومی [به‌حسب اعیان بار] كنید؛ به اینكه این مفهوم واقعاً در اعیان وجود داشته باشد.»</w:t>
      </w:r>
    </w:p>
    <w:p>
      <w:pPr/>
      <w:r>
        <w:rPr>
          <w:rtl w:val="0"/>
          <w:lang w:val="fa-IR"/>
        </w:rPr>
        <w:t xml:space="preserve">من‌باب‌مثال حالا كه شما حكم بر ریاست می‌کنید به اینكه مثلاً «</w:t>
      </w:r>
      <w:r>
        <w:rPr>
          <w:rStyle w:val="Arabi"/>
          <w:rtl w:val="0"/>
          <w:lang w:val="fa-IR"/>
        </w:rPr>
        <w:t xml:space="preserve">زیدٌ رئیسٌ</w:t>
      </w:r>
      <w:r>
        <w:rPr>
          <w:rtl w:val="0"/>
          <w:lang w:val="fa-IR"/>
        </w:rPr>
        <w:t xml:space="preserve">»، لازمه‏اش این است كه ریاست در خارج وجود داشته باشد، حالا ریاست را نشان بدهید ببینیم! یا اینکه مثلاً بگویید: «اینها طائفه‏ و گروهى هستند»، آن كه ما در خارج مى‏بینیم زید و عمرو و بكر است، گروه نمى‏بینیم! این مسئله و این انتزاعاتى را كه شما بر اشیاء حمل مى‏كنید دلیل بر این نیست كه یك صورت عینى در خارج هم داشته باشند، اینها یك انتزاعاتى هستند كه به‌واسطۀ ارتباطاتى كه این اشیاء با هم در خارج دارند نفس مى‏آید و یك وصف را انتزاع مى‏كند. اما نه‌اینكه در خارج یك صورت عینى داشته باشند. آن كه ما گروه را مى‏بینیم، تك تك افراد هستند، غیر از این چیز دیگرى نیست.</w:t>
      </w:r>
    </w:p>
    <w:p>
      <w:pPr>
        <w:pStyle w:val="NaghlegholMatn"/>
      </w:pPr>
      <w:r>
        <w:rPr>
          <w:rStyle w:val="Arabi"/>
          <w:rtl w:val="0"/>
          <w:lang w:val="fa-IR"/>
        </w:rPr>
        <w:t xml:space="preserve">و أیضًا یجری هذا الاحتجاجُ فی الامتناعِ و لیس لامتناعِ الممتنعِ صورةٌ فی الأعیانِ فالحَلُّ ما ذكَرناه‏.</w:t>
      </w:r>
    </w:p>
    <w:p>
      <w:pPr>
        <w:pStyle w:val="NaghlegholMatn"/>
      </w:pPr>
      <w:r>
        <w:rPr>
          <w:rtl w:val="0"/>
          <w:lang w:val="fa-IR"/>
        </w:rPr>
        <w:t xml:space="preserve">«و مطلب دیگرى كه پیش مى‏آید به‌عنوان جواب نقضى است که در امتناع هم این‌طور مى‏آید. براى‏ امتناعِ ممتنع، یك صورت در اعیان خارجى نیست.»</w:t>
      </w:r>
    </w:p>
    <w:p>
      <w:pPr/>
      <w:r>
        <w:rPr>
          <w:rtl w:val="0"/>
          <w:lang w:val="fa-IR"/>
        </w:rPr>
        <w:t xml:space="preserve">وقتى كه شما حمل مى‏كنید و مى‏گویید: این ممتنع الوجود است، بالاخره آیا این وصف امتناع را بر این موضوع حمل مى‏كنید یا حمل نمى‏كنید؟! اگر حمل مى‏كنید پس نشان بدهید! این امتناع در اینجا چه صورت خارجى باید داشته باشد؟! پس از آنجایى كه قضایاى ما نباید خالى از این دوتا باشد، اگر امتناع را خارج كردید پس یا مسئله باید امكان باشد و یا باید واجب باشد. پس قضیۀ ما از قضیۀ سالبه و قضیۀ ممتنع، متبدّل به قضیۀ ثبوتیه مى‏شود. این هم اشكال دیگر و نقض دیگرى كه در اینجا وارد مى‏شود.</w:t>
      </w:r>
    </w:p>
    <w:p>
      <w:pPr>
        <w:pStyle w:val="NaghlegholMatn"/>
      </w:pPr>
      <w:r>
        <w:rPr>
          <w:rStyle w:val="Arabi"/>
          <w:rtl w:val="0"/>
          <w:lang w:val="fa-IR"/>
        </w:rPr>
        <w:t xml:space="preserve">تصالحٌ اتفاقیٌ:</w:t>
      </w:r>
    </w:p>
    <w:p>
      <w:pPr>
        <w:pStyle w:val="NaghlegholMatn"/>
      </w:pPr>
      <w:r>
        <w:rPr>
          <w:rStyle w:val="Arabi"/>
          <w:rtl w:val="0"/>
          <w:lang w:val="fa-IR"/>
        </w:rPr>
        <w:t xml:space="preserve">إنّ ما اشتَهَرَ مِن الحكماءِ المشائین أتباعَ المعلمِ الأولِ مِن الحكمِ بوجودِ هذه المعانی العامةِ كالوجوبِ و الإمكانِ و العلیةِ و التقدّمِ و نظائرِها و أنّهم یُخالفونَ الأقدمینَ مِن حكماءِ الرّواقِ حیثُ قالوا بأنّ: نحوَ وجودِ هذه المعانی إنّما هو بملاحظةِ العقلِ و اعتبارِه فمنشأُ ذلك ما حقّقناه و فی التحقیقِ و عند التفتیش لا تَخالُفٌ بینَ الرأیین و لا مناقضةَ بینَ القولین فإنّ‏ وجودَها فی الخارج عبارةٌ عن اتصافِ الموجوداتِ العینیةِ بها بحسبِ الأعیانِ.</w:t>
      </w:r>
    </w:p>
    <w:p>
      <w:pPr>
        <w:pStyle w:val="NaghlegholMatn"/>
      </w:pPr>
      <w:r>
        <w:rPr>
          <w:rtl w:val="0"/>
          <w:lang w:val="fa-IR"/>
        </w:rPr>
        <w:t xml:space="preserve">«[سازش اتفاقی:] آن كه مشهور است از حكماء مشائیین، اتباع معلم اول، ارسطو كه حكم به وجود این معانى عامه كردند که مفاهیم ثانى فلسفى هستند مثل وجوب، امكان، علیت، تقدم، تأخّر، نظایر اینها مانند نوعیت و فصلیت و جنسیت، به اینكه اینها مخالف اقدمین از حكمای رواق هستند، یعنى حكماء اشراقیین. اینها فرمودند كه وجود این معانى به‌ملاحظۀ عقل و انتزاع عقل است نه به‌ملاحظۀ تحقق خارجى‏شان. منشأ این مسئله و این اختلاف این‌گونه است كه ما بیان كردیم و وقتى که تفتیش و تحقیق كنیم مى‏بینیم تخالفى بین دو رأى نیست، چون وجود خارجى این اوصاف و مفاهیم عبارت است از اینکه موجودات عینى متصف به این هستند، نه‌اینكه خود آن وصف هم در خارج هست.»</w:t>
      </w:r>
    </w:p>
    <w:p>
      <w:pPr/>
      <w:r>
        <w:rPr>
          <w:rtl w:val="0"/>
          <w:lang w:val="fa-IR"/>
        </w:rPr>
        <w:t xml:space="preserve">یعنى در عالم اعیان، موجوادت عینیه، موجوداتى كه‏ موضوع براى این قضیه هستند اینها متصف به این مسائل هستند. من‌باب‌مثال مى‏گوییم: «</w:t>
      </w:r>
      <w:r>
        <w:rPr>
          <w:rStyle w:val="Arabi"/>
          <w:rtl w:val="0"/>
          <w:lang w:val="fa-IR"/>
        </w:rPr>
        <w:t xml:space="preserve">زیدٌ ممكنُ الوجود</w:t>
      </w:r>
      <w:r>
        <w:rPr>
          <w:rtl w:val="0"/>
          <w:lang w:val="fa-IR"/>
        </w:rPr>
        <w:t xml:space="preserve">» یا «</w:t>
      </w:r>
      <w:r>
        <w:rPr>
          <w:rStyle w:val="Arabi"/>
          <w:rtl w:val="0"/>
          <w:lang w:val="fa-IR"/>
        </w:rPr>
        <w:t xml:space="preserve">اجتماعُ النقیضین ممتنعٌ</w:t>
      </w:r>
      <w:r>
        <w:rPr>
          <w:rtl w:val="0"/>
          <w:lang w:val="fa-IR"/>
        </w:rPr>
        <w:t xml:space="preserve">» یا «</w:t>
      </w:r>
      <w:r>
        <w:rPr>
          <w:rStyle w:val="Arabi"/>
          <w:rtl w:val="0"/>
          <w:lang w:val="fa-IR"/>
        </w:rPr>
        <w:t xml:space="preserve">اجتماعُ الضدیّن ممتنعٌ</w:t>
      </w:r>
      <w:r>
        <w:rPr>
          <w:rtl w:val="0"/>
          <w:lang w:val="fa-IR"/>
        </w:rPr>
        <w:t xml:space="preserve">» یا «</w:t>
      </w:r>
      <w:r>
        <w:rPr>
          <w:rStyle w:val="Arabi"/>
          <w:rtl w:val="0"/>
          <w:lang w:val="fa-IR"/>
        </w:rPr>
        <w:t xml:space="preserve">الفصلیّةُ فى الخارج موجودةٌ</w:t>
      </w:r>
      <w:r>
        <w:rPr>
          <w:rtl w:val="0"/>
          <w:lang w:val="fa-IR"/>
        </w:rPr>
        <w:t xml:space="preserve">» یا «</w:t>
      </w:r>
      <w:r>
        <w:rPr>
          <w:rStyle w:val="Arabi"/>
          <w:rtl w:val="0"/>
          <w:lang w:val="fa-IR"/>
        </w:rPr>
        <w:t xml:space="preserve">زیدٌ صنفٌ مِن الانسان</w:t>
      </w:r>
      <w:r>
        <w:rPr>
          <w:rtl w:val="0"/>
          <w:lang w:val="fa-IR"/>
        </w:rPr>
        <w:t xml:space="preserve">» یا </w:t>
      </w:r>
      <w:r>
        <w:rPr>
          <w:rStyle w:val="Arabi"/>
          <w:rtl w:val="0"/>
          <w:lang w:val="fa-IR"/>
        </w:rPr>
        <w:t xml:space="preserve">«زیدٌ جزئىٌ مِن الانسان</w:t>
      </w:r>
      <w:r>
        <w:rPr>
          <w:rtl w:val="0"/>
          <w:lang w:val="fa-IR"/>
        </w:rPr>
        <w:t xml:space="preserve">» یا آن افرادى كه كاتب هستند «</w:t>
      </w:r>
      <w:r>
        <w:rPr>
          <w:rStyle w:val="Arabi"/>
          <w:rtl w:val="0"/>
          <w:lang w:val="fa-IR"/>
        </w:rPr>
        <w:t xml:space="preserve">صنفٌ مِن الانسان</w:t>
      </w:r>
      <w:r>
        <w:rPr>
          <w:rtl w:val="0"/>
          <w:lang w:val="fa-IR"/>
        </w:rPr>
        <w:t xml:space="preserve">»، این صنفیّت و این جنسیّت و این حیوانیت، همۀ اینها از اوصافى هستند كه این اوصاف بر موضوعات عینى حمل مى‏شوند ولى خودشان وجود خارجى ندارند.</w:t>
      </w:r>
    </w:p>
    <w:p>
      <w:pPr>
        <w:pStyle w:val="SoalMatn"/>
      </w:pPr>
      <w:r>
        <w:rPr>
          <w:rtl w:val="0"/>
          <w:lang w:val="fa-IR"/>
        </w:rPr>
        <w:t xml:space="preserve">تلمیذ: </w:t>
      </w:r>
      <w:r>
        <w:rPr>
          <w:rtl w:val="0"/>
          <w:lang w:val="fa-IR"/>
        </w:rPr>
        <w:t xml:space="preserve">منكرین، آنها که منکر ممکن در خارج هستند، اتصاف را انكار نكردند، لذا صلحشان به این نحوه معلوم نیست چگونه است!</w:t>
      </w:r>
    </w:p>
    <w:p>
      <w:pPr/>
      <w:r>
        <w:rPr>
          <w:rtl w:val="0"/>
          <w:lang w:val="fa-IR"/>
        </w:rPr>
        <w:t xml:space="preserve">استاد: </w:t>
      </w:r>
      <w:r>
        <w:rPr>
          <w:rtl w:val="0"/>
          <w:lang w:val="fa-IR"/>
        </w:rPr>
        <w:t xml:space="preserve">نه، اینها مى‏گویند: این اوصافى را كه شما بر محمولات حمل مى‏كنید مثل امكان و وجوب و عینیت و فصلیّت و نوعیت و تقدّم و تأخر، اینها اصلاً نحوۀ وجود ندارند.</w:t>
      </w:r>
    </w:p>
    <w:p>
      <w:pPr>
        <w:pStyle w:val="SoalMatn"/>
      </w:pPr>
      <w:r>
        <w:rPr>
          <w:rtl w:val="0"/>
          <w:lang w:val="fa-IR"/>
        </w:rPr>
        <w:t xml:space="preserve">تلمیذ: </w:t>
      </w:r>
      <w:r>
        <w:rPr>
          <w:rtl w:val="0"/>
          <w:lang w:val="fa-IR"/>
        </w:rPr>
        <w:t xml:space="preserve">قبول دارم که زید ممکن است ولی آیا این امكان در خارج غیر از اتصاف، چیز دیگرى مابازاء آن هست یا نه؟</w:t>
      </w:r>
    </w:p>
    <w:p>
      <w:pPr/>
      <w:r>
        <w:rPr>
          <w:rtl w:val="0"/>
          <w:lang w:val="fa-IR"/>
        </w:rPr>
        <w:t xml:space="preserve">استاد: </w:t>
      </w:r>
      <w:r>
        <w:rPr>
          <w:rtl w:val="0"/>
          <w:lang w:val="fa-IR"/>
        </w:rPr>
        <w:t xml:space="preserve">این حرف را درقبال آن كسانى مى‏زنند كه مى‏گویند: بعضى از اشیاء و اوصاف در خارج وجود دارند اما ما ادراك آنها را نمى‏كنیم؛ مانند آن دعوا و اختلافی كه بین وحدت جنس و فصل در خارج یا تعدد آنها بینمان بود که ما اتحاد آن را اتحاد انضمامى در خارج مى‏دانستیم، یا اینكه اتحاد اینها را اتحاد عینى مى‏دانیم. در آنجا صحبت از این هست كه بین جنس و فصل، یعنی ماده و صورت خارجی انضمام هست، تركیب است، منتها چشم ما قادر به حلّ این دو قضیه و تقسیم این دو قضیه نیست. چطور اینكه شما شكر را در آب مى‏ریزید و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منضم مى‏شوند و شما نمى‏توانید تشخیص دهید، ولى در خارج دو امر هست.</w:t>
      </w:r>
    </w:p>
    <w:p>
      <w:pPr/>
      <w:r>
        <w:rPr>
          <w:rtl w:val="0"/>
          <w:lang w:val="fa-IR"/>
        </w:rPr>
        <w:t xml:space="preserve">به‌قول حكیم سبزوارى و عده‏اى دیگر كه مى‏گویند: اصلاً در خارج یك امر واحد بیشتر نیست، این در قبال آن است.</w:t>
      </w:r>
      <w:r>
        <w:rPr>
          <w:rStyle w:val="FootnoteReference"/>
        </w:rPr>
        <w:footnoteReference w:id="2"/>
      </w:r>
      <w:r>
        <w:rPr>
          <w:rtl w:val="0"/>
          <w:lang w:val="fa-IR"/>
        </w:rPr>
        <w:t xml:space="preserve"> حالا ما مى‏خواهیم بگوییم: آیا اختلاف اینها از قبیل وحدت صورت و ماده به‌نحو انضمام است یا به‌نحو عینیت است؟ یا نه، اینها با هم اختلاف آنچنانى ندارند؟ حكمای رواقیین كه تابع افلاطون مى‏باشند، اینها قائل‏اند كه امكان، یك امر عینى خارجى نیست یعنى شما نمى‏توانید به‌عنوان </w:t>
      </w:r>
      <w:r>
        <w:rPr>
          <w:rStyle w:val="Arabi"/>
          <w:rtl w:val="0"/>
          <w:lang w:val="fa-IR"/>
        </w:rPr>
        <w:t xml:space="preserve">أنّه موجودٌ فى الخارج</w:t>
      </w:r>
      <w:r>
        <w:rPr>
          <w:rtl w:val="0"/>
          <w:lang w:val="fa-IR"/>
        </w:rPr>
        <w:t xml:space="preserve"> بگویید: «</w:t>
      </w:r>
      <w:r>
        <w:rPr>
          <w:rStyle w:val="Arabi"/>
          <w:rtl w:val="0"/>
          <w:lang w:val="fa-IR"/>
        </w:rPr>
        <w:t xml:space="preserve">الامكان موجودٌ» «التقدم و التاخر موجودٌ</w:t>
      </w:r>
      <w:r>
        <w:rPr>
          <w:rtl/>
          <w:lang w:val="fa-IR"/>
        </w:rPr>
        <w:t xml:space="preserve">». اعتباریات را نمى‏توانید به‌عنوان امور موجوده در خارج ببینید، منتها حلال‌زاده و غیر حلال‌زاده آن معانی را در خارج نمی‌بینند، چون وجود ندارد. حكمای مشاء مى‏گویند: نه، وجود دارد، به‌خاطر اینكه اگر وجود نداشتند شما در قضایاى هلیۀ مركبه بین موضوع و محمول وفاق ایجاد نمی‌كردید و از پیش خود همین‌طور حرف نمی‌زنید! خب چرا محمول دیگرى را براى موضوع انتخاب نمی‌كنید؟! اینكه محمول را به این خصوص براى موضوع ایجاد مى‏كنید، به‌خاطر این است كه نسبتى را در این مى‏بینید حالا با چشمتان نمى‏بینید بالاخره با عقلتان وجود آن را احساس مى‏كنید.</w:t>
      </w:r>
    </w:p>
    <w:p>
      <w:pPr/>
      <w:r>
        <w:rPr>
          <w:rtl w:val="0"/>
          <w:lang w:val="fa-IR"/>
        </w:rPr>
        <w:t xml:space="preserve">مرحوم صدرالمتألهین مى‏فرماید: اگر قرار بر این باشد پس اینها با هم اختلاف ندارند. او نمى‏گوید: هیچ نحوۀ وجودى در خارج ندارد بلکه مى‏گوید: وجود عینى مانند وجود نعتى كه با این چشم ببینیم كه این بیاض الآن جلو چشممان هست و این بیاض عارض بر این فرش شده است، این‌طور نیست. اما ارتباط بین آنها را از حمل بیاض و حمل آن نعت بر ناعت انتزاع مى‏كند كه اگر به این كیفیّت باشد این اشكال ندارد.</w:t>
      </w:r>
    </w:p>
    <w:p>
      <w:pPr>
        <w:pStyle w:val="NaghlegholMatn"/>
      </w:pPr>
      <w:r>
        <w:rPr>
          <w:rStyle w:val="Arabi"/>
          <w:rtl w:val="0"/>
          <w:lang w:val="fa-IR"/>
        </w:rPr>
        <w:t xml:space="preserve">و قد درَیتَ أنّ الوجودَ الرابطَ فی الهلیةِ المركبةِ الخارجیةِ لا یُنافی الامتناعَ الخارجیَ للمحمولِ. فعلىٰ ما ذكَرناه یُحمَلُ كلامُ أرسطو و أتباعِه فلا یُرَد علیهم تشنیعاتُ المتأخرینِ سیّما الشیخُ المتأله صاحبُ الإشراقِ.</w:t>
      </w:r>
      <w:r>
        <w:rPr>
          <w:rStyle w:val="FootnoteReference"/>
        </w:rPr>
        <w:footnoteReference w:id="3"/>
      </w:r>
    </w:p>
    <w:p>
      <w:pPr>
        <w:pStyle w:val="NaghlegholMatn"/>
      </w:pPr>
      <w:r>
        <w:rPr>
          <w:rtl w:val="0"/>
          <w:lang w:val="fa-IR"/>
        </w:rPr>
        <w:t xml:space="preserve">«و متوجه شدید كه وجود رابط در هلیۀ مركبۀ خارجیه منافات ندارد كه در خارج براى محمول ممتنع باشد. (یعنى محمول این امتناع را مى‏پذیرد، به جهت اینكه محمول از آن مفاهیمى كه قابل تحقق در خارج باشد نیست، مثل امکان.) بنابراین كلام ارسطو و اتباعش كه مى‏گویند: اینها وجود خارجى ندارد، بر این حمل مى‏شود كه ربط و انتسابی چطور در هلیۀ مركبه بود، ما این وجودات انتزاعیه را یك نحوۀ از همان معانى حرفى مى‏دانیم كه وجود اینها همان وجود فى‌غیره است؛ یعنى وجود در غیر موضوع و محمول است. [پس خرده‌گرفتن متأخرین مخصوصاً جناب شیخ متأله صاحب کتاب اشراق بر آنان وارد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حالا اینکه صورت خارجی را حلال‌زاده می‌بیند ما نمی‌دانیم!! گفت: «بعضی چیزها را حلال‌زاده‌ها می‌بینند!!» </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139، تعلیقۀ دوم.</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139 ـ 140.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