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چهل و دوم</w:t>
      </w:r>
    </w:p>
    <w:p>
      <w:pPr>
        <w:pStyle w:val="Heading5"/>
      </w:pPr>
      <w:r>
        <w:rPr>
          <w:rtl w:val="0"/>
          <w:lang w:val="fa-IR"/>
        </w:rPr>
        <w:t xml:space="preserve">کلام مرحوم فاضل قوشچى در دفع اشکال اتحاد جوهریت و عرضیت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مرحوم آقا</w:t>
      </w:r>
      <w:r>
        <w:rPr>
          <w:rStyle w:val="FootnoteReference"/>
        </w:rPr>
        <w:footnoteReference w:id="1"/>
      </w:r>
      <w:r>
        <w:rPr>
          <w:rtl w:val="0"/>
          <w:lang w:val="fa-IR"/>
        </w:rPr>
        <w:t xml:space="preserve"> ـ رضوان الله تعالی علیه ـ مى‏گفتند که ما کوچک بودیم یک دایى داشتیم خیلى شوخ بود و یک دفعه هم باهم همدان رفتیم ...</w:t>
      </w:r>
    </w:p>
    <w:p>
      <w:pPr>
        <w:pStyle w:val="NaghlegholMatn"/>
      </w:pPr>
      <w:r>
        <w:rPr>
          <w:rStyle w:val="Arabi"/>
          <w:rtl w:val="0"/>
          <w:lang w:val="fa-IR"/>
        </w:rPr>
        <w:t xml:space="preserve">قالَ بَعضُ أهلِ الکَلام فی دَفعِ الإشکالِ المَذکور.</w:t>
      </w:r>
    </w:p>
    <w:p>
      <w:pPr>
        <w:pStyle w:val="NaghlegholMatn"/>
      </w:pPr>
      <w:r>
        <w:rPr>
          <w:rStyle w:val="Arabi"/>
          <w:rtl w:val="0"/>
          <w:lang w:val="fa-IR"/>
        </w:rPr>
        <w:t xml:space="preserve">و هوَ کَونُ شَی‌ءٍ واحدٍ جوهراً و عَرضاً کُلیاً و جُزئیاً عِلماً و مَعلوماً إنّا إذا تَصوَّرنا الأشیاء یَحصلُ عِندنا أمران أحدهُما موجودٌ فی الذِّهن و هو مَعلومٌ.</w:t>
      </w:r>
      <w:r>
        <w:rPr>
          <w:rStyle w:val="FootnoteReference"/>
        </w:rPr>
        <w:footnoteReference w:id="2"/>
      </w:r>
    </w:p>
    <w:p>
      <w:pPr/>
      <w:r>
        <w:rPr>
          <w:rtl w:val="0"/>
          <w:lang w:val="fa-IR"/>
        </w:rPr>
        <w:t xml:space="preserve">مرحوم فاضل قوشچى در دفع اشکال اتحاد جوهریت و عرضیت و یا کلیت و جزئیت و علم و معلوم مطلبى دارند؛ ایشان مى‏فرمایند: وقتى که ما یک صورت ذهنى و صورت مفهومى از شىء را تصور مى‏کنیم دو چیز در ذهن ما حاصل و پیدا مى‏شود که یکى عبارت از خود همان متصوَّر ما است یعنی آن شیئی که تصور شده است. اگر انسان را تصور کردیم انسان در ذهن هست، اگر بقر را تصور کردیم بقر در ذهن است، اگر کلى را تصور کردیم کلى [در ذهن هست] و اگر جزئى را تصور کردیم جزئى در ذهن هست. این یک مسئله‌اى است که به‌جهت این قضیه انسان احکام مختلف و آثار متفاوت بر متصورات خودش حکم و بار مى‏کند. این از نقطه‌نظر کلیت ممکن است کلى باشد و از نقطه‌نظر تصور، معلوم براى ذهن است و از نقطه‌نظر اتصاف، یک امرى است که به ذهن ارتباطى ندارد بلکه مانند یک امرى که در یک ظرفى حلول مى‏کند، ظرف و وعائش ذهن است و این یک وجودى است که انسان در باب تصور احساس مى‏کند.</w:t>
      </w:r>
    </w:p>
    <w:p>
      <w:pPr/>
      <w:r>
        <w:rPr>
          <w:rtl w:val="0"/>
          <w:lang w:val="fa-IR"/>
        </w:rPr>
        <w:t xml:space="preserve">مسئلۀ دومى که پیدا و حاصل مى‏شود جنبۀ ناعتیت و اتصاف نفس به این است که در اینجا قطعاً وجودِ جزئى و علم است چون علم جنبۀ اتصاف و تعلق دارد، جنبۀ تعلق به یک امر و تعلق نفس نسبت به یک امرى دارد، در اینجا آن مسئلۀ ناعتیت مطرح است. بنابراین با توجه به این قضیه دیگر اتحاد بین جزئى و کلى نیست که شما یک مسئلۀ کلى را تصور کنید و درعین‌حال از جهت اتصاف ذهن به آن شىء طبعاً او از وجود جزئى برخوردار بشود. چطور ممکن است یک امر کلى با یک امر جزئى که مصداق یک تصور مفهومى و یک صورت ذهنى است در اینجا اتحاد پیدا بکند؟! در کلیت و جزئیت و اتحاد بین علم و معلوم چطور ممکن است آن جنبۀ رابطۀ بین نفس و آن معلوم، نفسِ خود معلوم باشد؟ همان‏طوری‌که در باب اتحاد بین علم و عالم و معلوم که قبل از بوعلى از فلاسفۀ یونان فرفوریوس این مسئله را اثبات کردند، نسبت به این مطلب چطور ممکن است دو امر از این نقطه‌نظر باهم متحد باشند؟ از این نظر ایشان پاسخ مى‏دهند. یااینکه بین جوهر و عرض در اینجا اتحادى نیست و آنچه که در ذهن هست جوهر است و چیز دیگرى است و آنچه که در حالّ است یا عرض است ولى آنچه که نفس، متصف به اوست قطعاً عرض و کیف نفسانى است و از این نقطه‌نظر به‌طورکلى باهم تفاوت دارند. این مسئله به انفکاک بین این دو امر مربوط مى‏شود که دو امر مختلف در ذهن تحقق پیدا مى‏کند.</w:t>
      </w:r>
    </w:p>
    <w:p>
      <w:pPr>
        <w:pStyle w:val="Heading6"/>
      </w:pPr>
      <w:r>
        <w:rPr>
          <w:rtl w:val="0"/>
          <w:lang w:val="fa-IR"/>
        </w:rPr>
        <w:t xml:space="preserve">اعتراض مرحوم آخوند به کلام فاضل قوشچى</w:t>
      </w:r>
    </w:p>
    <w:p>
      <w:pPr/>
      <w:r>
        <w:rPr>
          <w:rtl w:val="0"/>
          <w:lang w:val="fa-IR"/>
        </w:rPr>
        <w:t xml:space="preserve">مرحوم آخوند نسبت به کلام فاضل قوشچى اعتراض دارند و مى‏فرمایند: اصلاً این مسئله خلاف بدیهت و خلاف وجدان است که ما احساس کنیم دو چیز در ذهن پیدا مى‏شود. نه! آنچه که در ذهن هست فقط یک چیز است. بله، اگر از نقطه‌نظر اعتبار مى‏خواهید تغایر را بفرمایید، این مسئله درست است. از نظر اعتبار، اعتباراً آنچه را که تصور مى‏کنیم به حمل اوّلىِ ذاتى ـ همان‏طور که قبلاً صحبتش مفصل گذشت ـ عبارت از نفس ماهیتى است که حالّ بر نفس است و به حمل شایع صناعى آنچه را که تصور مى‏کنیم عین تعلق نفس به معلوم است و عین ربط نفس با آن معلوم بالذات است که آن معلوم بالذات حاکى از آن معلوم بالعرض خارجى است و این تعلق نفس عبارت از علم است.</w:t>
      </w:r>
    </w:p>
    <w:p>
      <w:pPr/>
      <w:r>
        <w:rPr>
          <w:rtl w:val="0"/>
          <w:lang w:val="fa-IR"/>
        </w:rPr>
        <w:t xml:space="preserve">خب در اینجا مسئلۀ کلیت و جزئیت حل مى‏شود اما آنچه که در اینجا باقى مى‏ماند مسئلۀ اتحاد جوهر و عرض است، زیرا جوهر و عرض دو امر اعتبارى نیستند بلکه دو امر تکوینى و واقعى هستند. اگر آنچه که در ذهن تصور مى‏شود واقعاً دوتا هست، این خلاف وجدان و آنچه را که ما مى‏فهمیم است و اگر جنبه، جنبۀ اعتبارى دارد پس یا باید شما بگویید که آنچه که در نفس هست واحد است و او به نفس قائم است، جوهر است بنابراین چگونه مى‏تواند با عرضیت و کیفیت توافق داشته باشد؟ و اگر عرض است چگونه جوهر تبدیل به عرض مى‏شود؟ و این اشکال قطعاً باقى مى‏ماند! این کلام، کلام فاضل قوشچى است. البته بعضى از مقررین آمده‌اند از طرف فاضل قوشچى جواب بدهند که جوابشان ناتمام است و اشکال مرحوم آخوند در اینجا وارد است. بعد وارد </w:t>
      </w:r>
      <w:r>
        <w:rPr>
          <w:rStyle w:val="Arabi"/>
          <w:rtl w:val="0"/>
          <w:lang w:val="fa-IR"/>
        </w:rPr>
        <w:t xml:space="preserve">عِلمِ الله</w:t>
      </w:r>
      <w:r>
        <w:rPr>
          <w:rtl w:val="0"/>
          <w:lang w:val="fa-IR"/>
        </w:rPr>
        <w:t xml:space="preserve"> مى‏شوند که خیال مى‏کنم براى وقت دیگر بگذاریم.</w:t>
      </w:r>
    </w:p>
    <w:p>
      <w:pPr>
        <w:pStyle w:val="NaghlegholMatn"/>
      </w:pPr>
      <w:r>
        <w:rPr>
          <w:rStyle w:val="Arabi"/>
          <w:rtl w:val="0"/>
          <w:lang w:val="fa-IR"/>
        </w:rPr>
        <w:t xml:space="preserve">قالَ بَعضُ أهلِ الکَلام فی دَفعِ الإشکالِ المَذکور.</w:t>
      </w:r>
    </w:p>
    <w:p>
      <w:pPr>
        <w:pStyle w:val="NaghlegholMatn"/>
      </w:pPr>
      <w:r>
        <w:rPr>
          <w:rStyle w:val="Arabi"/>
          <w:rtl w:val="0"/>
          <w:lang w:val="fa-IR"/>
        </w:rPr>
        <w:t xml:space="preserve">و هوَ کونُ شَی‌ءٍ واحدٍ جوهراً و عَرضاً کُلیاً و جُزئیاً عِلماً و مَعلوما.</w:t>
      </w:r>
    </w:p>
    <w:p>
      <w:pPr/>
      <w:r>
        <w:rPr>
          <w:rtl w:val="0"/>
          <w:lang w:val="fa-IR"/>
        </w:rPr>
        <w:t xml:space="preserve">اشکال ما این بود که یک شىء واحد هم جوهر و عرض باشد و هم در عین کلیت، جزئى مصداق باشد، هم در عینى که علم است و صرف تعلق نفس به یک امر معلوم است درعین‌حال معلوم باشد به‌جهت اینکه نفسِ همان جنبۀ ناعتیت برای او جنبۀ حکایت از خارج دارد. اگر جنبۀ حکایت دارد بنابراین چرا علم است؟ و اگر تعلق نفس به خارج است چطور به آن معلوم مى‏گویید؟ ایشان این‌طور فرمودند:</w:t>
      </w:r>
    </w:p>
    <w:p>
      <w:pPr>
        <w:pStyle w:val="NaghlegholMatn"/>
      </w:pPr>
      <w:r>
        <w:rPr>
          <w:rStyle w:val="Arabi"/>
          <w:rtl w:val="0"/>
          <w:lang w:val="fa-IR"/>
        </w:rPr>
        <w:t xml:space="preserve">إنّا إذا تَصوَّرنا الأشیاءَ یَحصُلُ عِندنا أمران أحدهُما موجودٌ فی الذِّهن و هو مَعلومٌ کُلی و هوَ غَیرُ حالٍ فی الذِّهنِ ناعتاً لَه بَل حاصلٌ فیه حصولُ الشی‌ء فی الزَّمانِ و المکان</w:t>
      </w:r>
      <w:r>
        <w:rPr>
          <w:rtl w:val="0"/>
          <w:lang w:val="fa-IR"/>
        </w:rPr>
        <w:t xml:space="preserve">.</w:t>
      </w:r>
    </w:p>
    <w:p>
      <w:pPr/>
      <w:r>
        <w:rPr>
          <w:rtl w:val="0"/>
          <w:lang w:val="fa-IR"/>
        </w:rPr>
        <w:t xml:space="preserve">وقتى که ما اشیاء را تصور بکنیم دو چیزى براى ما حاصل مى‏شود؛ یک امرى است که در ذهن موجود است و او عبارت از معلوم است که عبارت از همان حاکىِ از خارج است و کلى است و قابل اتصاف بر کثیرین است حتى اگر یک جزئى را هم در ذهن بیاورید آن جزئى مى‏تواند قابل صدق بر افراد خارجى زیادى باشد و این به‌عنوان ناعتیت براى ذهن حلول نمى‏کند تا وصف [برای] ذهن بشود بلکه در ذهن حاصل مى‏شود مانند حصول شىء در زمان و مکان که یک شىء چطور در زمان و مکان پیدا بشود این‌هم در همان‌جا پیدا مى‏شود یعنى از ذهن‏ جداست و ذهن، ظرفِ براى اوست اما تعلقى به ذهن ندارد.</w:t>
      </w:r>
    </w:p>
    <w:p>
      <w:pPr>
        <w:pStyle w:val="NaghlegholMatn"/>
      </w:pPr>
      <w:r>
        <w:rPr>
          <w:rStyle w:val="Arabi"/>
          <w:rtl w:val="0"/>
          <w:lang w:val="fa-IR"/>
        </w:rPr>
        <w:t xml:space="preserve">و ثانیهُما موجودٌ فی الخارج و هوَ علمٌ و جُزئی و عَرض قائمٌ بِالذهن مِنَ الکیفیاتِ النفسانیة فَحینئذِ لا إشکالَ فیه.</w:t>
      </w:r>
    </w:p>
    <w:p>
      <w:pPr/>
      <w:r>
        <w:rPr>
          <w:rtl w:val="0"/>
          <w:lang w:val="fa-IR"/>
        </w:rPr>
        <w:t xml:space="preserve">و امر دوم امرى است که در خارج موجود است ـ مقصود از </w:t>
      </w:r>
      <w:r>
        <w:rPr>
          <w:rStyle w:val="Arabi"/>
          <w:rtl w:val="0"/>
          <w:lang w:val="fa-IR"/>
        </w:rPr>
        <w:t xml:space="preserve">فِى الخارج</w:t>
      </w:r>
      <w:r>
        <w:rPr>
          <w:rtl w:val="0"/>
          <w:lang w:val="fa-IR"/>
        </w:rPr>
        <w:t xml:space="preserve"> یعنى ذهن نه‌اینکه امر خارجى و اعیان خارجى است چون خود ذهن هم یکى از امور خارجى است ـ که همان نفس است و این عبارت از علم است یعنى اتصاف نفس به یک امر و به یک معلوم و جزئى است چون حصّۀ وجودى خاصى را در اینجا اشغال کرده است و عرضى قائم به ذهن از کیفیات نفسانیه است، دیگر اشکالی در اینجا نیست.</w:t>
      </w:r>
    </w:p>
    <w:p>
      <w:pPr>
        <w:pStyle w:val="NaghlegholMatn"/>
      </w:pPr>
      <w:r>
        <w:rPr>
          <w:rStyle w:val="Arabi"/>
          <w:rtl w:val="0"/>
          <w:lang w:val="fa-IR"/>
        </w:rPr>
        <w:t xml:space="preserve">إنَّما الإشکال مِن جَهةِ کونَ شی‌ءٍ واحِد جوهراً و عرضاً أو علماً و معلوماً أو کلیاً و جزئیاً.</w:t>
      </w:r>
    </w:p>
    <w:p>
      <w:pPr/>
      <w:r>
        <w:rPr>
          <w:rtl w:val="0"/>
          <w:lang w:val="fa-IR"/>
        </w:rPr>
        <w:t xml:space="preserve">[اشکال این است که] یک شىء هم جوهر باشد و در عین جوهریت عرض باشد. علم باشد و در عین اتصافِ نفس، همان معلوم بالذات باشد. کلى باشد و درعین‌حال جزئی و مصداق براى وجود ذهنى باشد. جوابى که ایشان مى‏فرمایند این است:</w:t>
      </w:r>
    </w:p>
    <w:p>
      <w:pPr>
        <w:pStyle w:val="NaghlegholMatn"/>
      </w:pPr>
      <w:r>
        <w:rPr>
          <w:rStyle w:val="Arabi"/>
          <w:rtl w:val="0"/>
          <w:lang w:val="fa-IR"/>
        </w:rPr>
        <w:t xml:space="preserve">نَقول إن أرادَ أنَّ هُناکَ أمرَین مُتغایرَین بِالإعتبارِ موافقاً لِما ذَهبَ إلیهِ الحُکماء و المُحققون فَلا یَفی إلاّ بِدفعِ إشکالِ کونِ شی‌ءٍ واحدٍ علماً و معلوماً</w:t>
      </w:r>
      <w:r>
        <w:rPr>
          <w:rtl w:val="0"/>
          <w:lang w:val="fa-IR"/>
        </w:rPr>
        <w:t xml:space="preserve"> </w:t>
      </w:r>
      <w:r>
        <w:rPr>
          <w:rStyle w:val="Arabi"/>
          <w:rtl w:val="0"/>
          <w:lang w:val="fa-IR"/>
        </w:rPr>
        <w:t xml:space="preserve">و کونُه کُلیاً و جُزئیاً.</w:t>
      </w:r>
      <w:r>
        <w:rPr>
          <w:rStyle w:val="FootnoteReference"/>
        </w:rPr>
        <w:footnoteReference w:id="3"/>
      </w:r>
    </w:p>
    <w:p>
      <w:pPr/>
      <w:r>
        <w:rPr>
          <w:rtl w:val="0"/>
          <w:lang w:val="fa-IR"/>
        </w:rPr>
        <w:t xml:space="preserve">اگر مقصود ایشان از دو امر این است که دو امر بالاِعتبار متغایر هستند اما بالذات واحد هستند که دراین‌صورت با مذهب حکما و محققون وفق پیدا مى‏کند. آن مقدار که این جواب، توان و قدرت دارد پاسخ بدهد فقط از اتحاد کلى و جزئى بودن معلوم مى‏تواند پاسخ بدهد که بله، یک شىء در عین اینکه کلى است یعنى همان شیئی است که بر ذهن حاصل مى‏شود و قابل انطباق بر کثیرین است اما از جهت اینکه یک حصّۀ خاص وجود ذهنى را دارد جزئى است لذا آنچه را که ادراک مى‏کنید ـ همین‌که الآن دارم مى‏گویم و تک‌تک شما ادراک مى‏کنید ـ همۀ اینها جزئى است چون هرکدام از شما ادراک خاص به خود را دارد که به دیگرى ارتباطى ندارد و این </w:t>
      </w:r>
      <w:r>
        <w:rPr>
          <w:rStyle w:val="Arabi"/>
          <w:rtl w:val="0"/>
          <w:lang w:val="fa-IR"/>
        </w:rPr>
        <w:t xml:space="preserve">لا نَعنی مِن جزئیته إلاّ هذا</w:t>
      </w:r>
      <w:r>
        <w:rPr>
          <w:rtl/>
          <w:lang w:val="fa-IR"/>
        </w:rPr>
        <w:t xml:space="preserve"> که نتواند قابل صدق بر کثیرین بشود گرچه همان معنایى را که شما ادراک مى‏کنید مانند همان معنایی است که دیگرى ادراک کرده است و مانند همان معنایى است که شخص ثالث ادراک کرده است. حتى اگر یک میلیون نفر پاى صحبت انسان بنشینند و انسان یک مطلبى را بگوید، آنچه را که یک شخص از این یک میلیون نفر ادراک مى‏کند قابل صدق بر جمیع مدرکات افراد دیگر از نظر مفهومى است اما از نظر حصّۀ وجودى این‌طور نیست و هر چیزى را که شخص ادراک مى‏کند برای خود اوست و هیچ ارتباطى با دیگرى ندارد چون وجود قابل سرایت به مصادیق متعدد نیست. در اینجا وجود منبسط [منظور نیست بلکه] همان وجود حصّۀ وجودى خاص [مدّنظر است]. آن حصّۀ وجودى خاص براى هر شخصى مختص به خود او خواهد بود.</w:t>
      </w:r>
    </w:p>
    <w:p>
      <w:pPr>
        <w:pStyle w:val="NaghlegholMatn"/>
      </w:pPr>
      <w:r>
        <w:rPr>
          <w:rStyle w:val="Arabi"/>
          <w:rtl w:val="0"/>
          <w:lang w:val="fa-IR"/>
        </w:rPr>
        <w:t xml:space="preserve">و أمّا إشکالُ کونهِ جوهراً و عرضاً فَبِمجردِ ما ذَکرهُ لا یُخرِّجُ عَنهَ الجَواب.</w:t>
      </w:r>
      <w:r>
        <w:rPr>
          <w:rStyle w:val="FootnoteReference"/>
        </w:rPr>
        <w:footnoteReference w:id="4"/>
      </w:r>
    </w:p>
    <w:p>
      <w:pPr/>
      <w:r>
        <w:rPr>
          <w:rtl w:val="0"/>
          <w:lang w:val="fa-IR"/>
        </w:rPr>
        <w:t xml:space="preserve">اما اشکالى که باقى مى‏ماند این است که آنچه که در ذهن هست هم جوهر و هم عرض باشد، این ازبین نمى‏رود چون امر واحد به حال خودش باقى است. اگر آن امر واحد، جوهر است پس چطور کیف نفسانى است؟ اگر کیف نفسانى است پس چطور جوهر تصور شده است؟ آن اشکال وحدت جوهر و عرض در اینجا باقى مى‏ماند و جواب از این تخریج نمى‏شود.</w:t>
      </w:r>
    </w:p>
    <w:p>
      <w:pPr>
        <w:pStyle w:val="NaghlegholMatn"/>
      </w:pPr>
      <w:r>
        <w:rPr>
          <w:rStyle w:val="Arabi"/>
          <w:rtl w:val="0"/>
          <w:lang w:val="fa-IR"/>
        </w:rPr>
        <w:t xml:space="preserve">و إن أرادَ أنَّهما اثنان مُتغایرانِ بِالذاتِ فَیردُ عَلیهِ سِوىٰ کونهِ مُخالفاً لِلذوق و الوجدان و إحداث‌ مَذهب ثالث من غیر دلیل و برهان أنَّهُ قَد تَقرَّرَ عِندهُم و سَنتلو عَلیک إن شاء الله.</w:t>
      </w:r>
    </w:p>
    <w:p>
      <w:pPr/>
      <w:r>
        <w:rPr>
          <w:rtl w:val="0"/>
          <w:lang w:val="fa-IR"/>
        </w:rPr>
        <w:t xml:space="preserve">اگر مقصود ایشان از دو امر این است که دو امر در ذهن انسان مى‏آید منتها انسان یکى از آن را مى‏فهمد و یکى از آن را نمى‏فهمد ـ گفت که حلال‌زاده فقط مى‏بیند!</w:t>
      </w:r>
      <w:r>
        <w:rPr>
          <w:rStyle w:val="FootnoteReference"/>
        </w:rPr>
        <w:footnoteReference w:id="5"/>
      </w:r>
      <w:r>
        <w:rPr>
          <w:rtl w:val="0"/>
          <w:lang w:val="fa-IR"/>
        </w:rPr>
        <w:t xml:space="preserve"> ـ ایشان مى‏گویند که اگر منظورشان دو امر است غیر از اینکه این مخالف با ذوق و وجدان است و انسان هم گواهى مى‏دهد به اینکه یک مسئله در ذهن ما پیدا مى‏شود نه دوتا یا سه‌تا و ایشان آمدند مذهب ثالثی بدون دلیل و برهان احداث کردند.</w:t>
      </w:r>
    </w:p>
    <w:p>
      <w:pPr/>
      <w:r>
        <w:rPr>
          <w:rtl w:val="0"/>
          <w:lang w:val="fa-IR"/>
        </w:rPr>
        <w:t xml:space="preserve">آن نقّالی‌هاى اولِ [صحبت] دیگر وقت ما را گرفت.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علامه آیة الله حاج سید محمدحسین حسینی طهرانی رضوان الله تعالی علیه.</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282.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282 و 283.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283.</w:t>
      </w:r>
    </w:p>
  </w:footnote>
  <w:footnote w:id="5">
    <w:p>
      <w:pPr>
        <w:pStyle w:val="FootnoteText"/>
      </w:pPr>
      <w:r>
        <w:rPr>
          <w:rStyle w:val="FootnoteReference"/>
        </w:rPr>
        <w:footnoteRef/>
      </w:r>
      <w:r>
        <w:t xml:space="preserve"> </w:t>
      </w:r>
      <w:r>
        <w:rPr>
          <w:rtl w:val="0"/>
          <w:lang w:val="fa-IR"/>
        </w:rPr>
        <w:t xml:space="preserve">. اشاره به داستانی دارد از کریستین آندرسن در کتاب </w:t>
      </w:r>
      <w:r>
        <w:rPr>
          <w:rtl w:val="0"/>
          <w:lang w:val="fa-IR"/>
        </w:rPr>
        <w:t xml:space="preserve">فرهنگ برهنگی و برهنگی فرهنگی</w:t>
      </w:r>
      <w:r>
        <w:rPr>
          <w:rtl w:val="0"/>
          <w:lang w:val="fa-IR"/>
        </w:rPr>
        <w:t xml:space="preserve"> نوشته غلامعلی حداد عادل.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