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چهل و نهم</w:t>
      </w:r>
    </w:p>
    <w:p>
      <w:pPr>
        <w:pStyle w:val="Heading5"/>
      </w:pPr>
      <w:r>
        <w:rPr>
          <w:rtl w:val="0"/>
          <w:lang w:val="fa-IR"/>
        </w:rPr>
        <w:t xml:space="preserve">نتیجۀ بحث دربارۀ اقسام مختلفۀ جعل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آقای ... به من مى‏گوید که درس آقا سید جلال که مى‏رفتم مثل درس تو بود، همه چیز در آن هست غیر از درس!! گفتم که حالا خود و خدایی کدامش بهتر است؟ اینکه آدم برود بخواند یااینکه بگوید و بنشیند و بخندد؟</w:t>
      </w:r>
    </w:p>
    <w:p>
      <w:pPr>
        <w:pStyle w:val="SoalMatn"/>
      </w:pPr>
      <w:r>
        <w:rPr>
          <w:rtl w:val="0"/>
          <w:lang w:val="fa-IR"/>
        </w:rPr>
        <w:t xml:space="preserve">تلمیذ:</w:t>
      </w:r>
      <w:r>
        <w:rPr>
          <w:rtl w:val="0"/>
          <w:lang w:val="fa-IR"/>
        </w:rPr>
        <w:t xml:space="preserve"> مرحوم آقا ـ رضوان الله تعالی علیه ـ به شما فرموده بودند که منبر قهوه‌خانه نیست!!</w:t>
      </w:r>
    </w:p>
    <w:p>
      <w:pPr/>
      <w:r>
        <w:rPr>
          <w:rtl w:val="0"/>
          <w:lang w:val="fa-IR"/>
        </w:rPr>
        <w:t xml:space="preserve">استاد</w:t>
      </w:r>
      <w:r>
        <w:rPr>
          <w:rtl w:val="0"/>
          <w:lang w:val="fa-IR"/>
        </w:rPr>
        <w:t xml:space="preserve">: بله، گفته بودند! ما آن بالا مى‏رفتیم و دیگر مى‏گفتیم، نمى‏دانم آثارش هست یا نه. مى‏گفتند که آقاى آسید محمد محسن منبر با تخت در قهوه‌خانه فرق دارد!! آدم هر حرفى را نمى‏تواند بزند! البته بنده هم فلسفى جواب آقا را دادم گفتم که آقا </w:t>
      </w:r>
      <w:r>
        <w:rPr>
          <w:rStyle w:val="Arabi"/>
          <w:rtl w:val="0"/>
          <w:lang w:val="fa-IR"/>
        </w:rPr>
        <w:t xml:space="preserve">الذاتی لا یَتغیَّر و لا یَتبدَّل</w:t>
      </w:r>
      <w:r>
        <w:rPr>
          <w:rtl w:val="0"/>
          <w:lang w:val="fa-IR"/>
        </w:rPr>
        <w:t xml:space="preserve">. خیلى خندیدیم!!</w:t>
      </w:r>
    </w:p>
    <w:p>
      <w:pPr>
        <w:pStyle w:val="Heading6"/>
      </w:pPr>
      <w:r>
        <w:rPr>
          <w:rtl w:val="0"/>
          <w:lang w:val="fa-IR"/>
        </w:rPr>
        <w:t xml:space="preserve">مسئلۀ عربی‌زدایی و نفوذ آن در حوزه‌های علمیه</w:t>
      </w:r>
    </w:p>
    <w:p>
      <w:pPr/>
      <w:r>
        <w:rPr>
          <w:rtl w:val="0"/>
          <w:lang w:val="fa-IR"/>
        </w:rPr>
        <w:t xml:space="preserve">یادم هست یک روز در یکی دو سال آخر حیات ایشان بود روز نیمۀ شعبان بود ما ‏رفته بودیم راجع به فردوسى حرف زدیم و این قضیۀ ز شیر [شتر خوردن و سوسمار]</w:t>
      </w:r>
      <w:r>
        <w:rPr>
          <w:rStyle w:val="FootnoteReference"/>
        </w:rPr>
        <w:footnoteReference w:id="1"/>
      </w:r>
      <w:r>
        <w:rPr>
          <w:rtl/>
          <w:lang w:val="fa-IR"/>
        </w:rPr>
        <w:t xml:space="preserve"> گفتیم و راجع به هجوم فرهنگى به‌‌دست خود ما [صحبت کردیم]. هردو هفته یکبار مجلۀ حوزه براى ما مى‏آورند درِ خانه مى‏گذارند. تمام عبارات همه عوض شده بود جداً هان! همین دیشب بود مى‏خواندم براى آقای شاه آبادى که استاد آقاى خمینى هم بود؛ آقا محمد على شاه آبادى که در عرفان نظرى درس می‌داد، مجلس نکوداشت آیةالله [شاه آبادی نوشته بودند]! نکوداشت یعنى چه؟! تجلیل را نکوداشت مى‏گویند! آخر خجالت هم خوب چیزى است! این حرف‌ها را روزنامه‏ها مى‏زنند شما حوزه‏ هستید! آخر این روزنامۀ حوزه است مگر مرگ گرفتى تجلیل یا ترحیم بگویی؟! حداقل یادبود بگو! مجلس نکوداشت چیست؟ می‌گویی که عقب نیفتی؟! بعد یکی آمده منبر رفته از این منبری‌های امروزی‌ که اصلاً تعمد داشت در اینکه تمام الفاظ را در منبر از همین [کلمات] جدید سیخکى‌میخکى و همین ساختگی‌هایی که جدید آورده‏اند [استفاده ‌کند] خیلى باعث [خجالت است]! همین اعلامیه‌هایی که گفتمان مى‏زنند خب بگو مجلس بحث و انتقاد دینی. گفتمان می‌گویند! گفتمان و مرض! بعد آن روز راجع به این شعر فردوسى صحبت مى‏کردم:</w:t>
      </w:r>
    </w:p>
    <w:p>
      <w:pPr>
        <w:pStyle w:val="She'rMatn"/>
      </w:pPr>
      <w:r>
        <w:rPr>
          <w:rtl w:val="0"/>
          <w:lang w:val="fa-IR"/>
        </w:rPr>
        <w:t xml:space="preserve">ز شیر شتر خوردن و سوسمار *** عرب را به جایی رسیده است کار</w:t>
      </w:r>
    </w:p>
    <w:p>
      <w:pPr>
        <w:pStyle w:val="She'rMatn"/>
      </w:pPr>
      <w:r>
        <w:rPr>
          <w:rtl w:val="0"/>
          <w:lang w:val="fa-IR"/>
        </w:rPr>
        <w:t xml:space="preserve">که تاج کیانی کند آرزو *** تُفو بر تو ای چرخ گردون تفو</w:t>
      </w:r>
      <w:r>
        <w:rPr>
          <w:rStyle w:val="FootnoteReference"/>
        </w:rPr>
        <w:footnoteReference w:id="2"/>
      </w:r>
    </w:p>
    <w:p>
      <w:pPr/>
      <w:r>
        <w:rPr>
          <w:rtl/>
          <w:lang w:val="fa-IR"/>
        </w:rPr>
        <w:t xml:space="preserve">من همان‌جا گفتم که تفو بر تو ای شاعر دون تفو!! همه [مبهوت شدند]. بعد مرحوم آقا ـ رضوان الله تعالی علیه ـ برای عمامه‌گذارى آمده بودند وقتى آمدند معلوم بود که اوه اوه خیلى توپشان پر است! در اندرونى بودند و دیگر شرکت نمى‏کردند فقط دو روز عید غدیر و عید نیمۀ شعبان و روز عاشورا، فقط این سه روز را شرکت می‌کردند. در اندرونی بودند بعد آمدند و شروع کردند به صحبت کردن که آن قضیۀ عربى‌زدائى و آن حرف‌ها را خیلى شدید مطرح کردند و آن صحبتشان بعد از منبر ما بود. خلاصه پسر که قبلاً رفت [آن‌طور بود] و پدر هم آمد این‌طور بود! به اندرونى رفتیم و مادرمان آمد گفت که این پدر و پسر مى‏توانند کار دست خودشان بدهند!! آقا هم آن‌قدر عصبانى بودند به اطاقشان رفتند! یا جلال ما در ایشان اثر گذاشته بود یا جلال ایشان در ما!! والده گفتند: این پدر و پسر مى‏توانند کار دست خودشان بدهند! واقعاً اگر اینها نبودند و این حرف‌ها را به ما یاد نمى‏دادند [ما الآن کجا بودیم]؟!</w:t>
      </w:r>
    </w:p>
    <w:p>
      <w:pPr>
        <w:pStyle w:val="Heading6"/>
      </w:pPr>
      <w:r>
        <w:rPr>
          <w:rtl w:val="0"/>
          <w:lang w:val="fa-IR"/>
        </w:rPr>
        <w:t xml:space="preserve">تعلیم علامه طهرانی به اولادشان کیفیت فهمیدن و فکر کردن را</w:t>
      </w:r>
    </w:p>
    <w:p>
      <w:pPr/>
      <w:r>
        <w:rPr>
          <w:rtl w:val="0"/>
          <w:lang w:val="fa-IR"/>
        </w:rPr>
        <w:t xml:space="preserve">براى ایشان نامه مى‏نوشتند و بعد این نامه را به ما مى‏دادند بخوانیم. ما ده دوازده سالمان بود از آن موقع‏ها مى‏گفتند که اشکال‌هاى این نامه را بگیر! بچۀ ده دوازده‌ساله بودیم و همین‌طور بزرگ شدیم، مى‏گفتند که اشکالاتش را بگیر. یکی از چیزهایى که ما از آن موقع یادمان است و [روش] آقا را می‌دانستیم اینکه مثلاً [اگر نامه] «بسمه تعالى» داشت، مى‏گفتیم که این اشکال اول؛ این نامه بسم الله ندارد! مى‏گفتند که </w:t>
      </w:r>
      <w:r>
        <w:rPr>
          <w:rStyle w:val="Arabi"/>
          <w:rtl w:val="0"/>
          <w:lang w:val="fa-IR"/>
        </w:rPr>
        <w:t xml:space="preserve">بارک الله بارک الله</w:t>
      </w:r>
      <w:r>
        <w:rPr>
          <w:rtl w:val="0"/>
          <w:lang w:val="fa-IR"/>
        </w:rPr>
        <w:t xml:space="preserve"> این یک اشکال، دومی چیست؟ اصلاً کیفیت فکر کردن و فهمیدن را یاد مى‏دادند و از همان پایه به آن فهم شکل مى‏دادند از آن اول [این کار را می‌کردند] این مسئله خیلى مهم است! لذا ایشان از اول با بقیه فرق داشتند از همان زمان شاه فرق داشتند روى همین قضایا، مسائل عدیده و متفاوته درگیرهایشان با علماء طهران، مسائل ربوی، مسائل بانکی و کیفیت ادارۀ مسجد، از این نظر اصلاً پشت سر ایشان خیلى حرف بود. خدا رحمتشان کند سرمایه‌هایی بودند.</w:t>
      </w:r>
    </w:p>
    <w:p>
      <w:pPr>
        <w:pStyle w:val="NaghlegholMatn"/>
      </w:pPr>
      <w:r>
        <w:rPr>
          <w:rStyle w:val="Arabi"/>
          <w:rtl w:val="0"/>
          <w:lang w:val="fa-IR"/>
        </w:rPr>
        <w:t xml:space="preserve">حِکمةٌ عَرشیة:</w:t>
      </w:r>
    </w:p>
    <w:p>
      <w:pPr>
        <w:pStyle w:val="NaghlegholMatn"/>
      </w:pPr>
      <w:r>
        <w:rPr>
          <w:rStyle w:val="Arabi"/>
          <w:rtl w:val="0"/>
          <w:lang w:val="fa-IR"/>
        </w:rPr>
        <w:t xml:space="preserve">فالحقُّ فی هذهِ المَسألةِ عَلىٰ ما یُؤدّی إلیهِ النَّظرُ الصَّحیح هوَ مَجعولیةُ الوجودِ بِالجعلِ البَسیطِ لا نَفسُ الماهیاتِ لِعدمِ ارتباطِها فی حدودِ أنفُسِها بِالفاعلِ</w:t>
      </w:r>
      <w:r>
        <w:rPr>
          <w:rtl w:val="0"/>
          <w:lang w:val="fa-IR"/>
        </w:rPr>
        <w:t xml:space="preserve">.</w:t>
      </w:r>
      <w:r>
        <w:rPr>
          <w:rStyle w:val="FootnoteReference"/>
        </w:rPr>
        <w:footnoteReference w:id="3"/>
      </w:r>
    </w:p>
    <w:p>
      <w:pPr/>
      <w:r>
        <w:rPr>
          <w:rtl w:val="0"/>
          <w:lang w:val="fa-IR"/>
        </w:rPr>
        <w:t xml:space="preserve">مرحوم آخوند می‌خواهند در اینجا آن نتیجۀ بحث را مطرح کنند و می‌خواهند تعلق جعل به وجود را به یک نحو الزامی و به‌نحوی‌که </w:t>
      </w:r>
      <w:r>
        <w:rPr>
          <w:rStyle w:val="Arabi"/>
          <w:rtl w:val="0"/>
          <w:lang w:val="fa-IR"/>
        </w:rPr>
        <w:t xml:space="preserve">لا مفرَّ مِنه</w:t>
      </w:r>
      <w:r>
        <w:rPr>
          <w:rtl w:val="0"/>
          <w:lang w:val="fa-IR"/>
        </w:rPr>
        <w:t xml:space="preserve"> باشد تثبیت کنند لذا از آن تعبیر به </w:t>
      </w:r>
      <w:r>
        <w:rPr>
          <w:rStyle w:val="Arabi"/>
          <w:rtl w:val="0"/>
          <w:lang w:val="fa-IR"/>
        </w:rPr>
        <w:t xml:space="preserve">حکمةٌ عرشیه</w:t>
      </w:r>
      <w:r>
        <w:rPr>
          <w:rtl w:val="0"/>
          <w:lang w:val="fa-IR"/>
        </w:rPr>
        <w:t xml:space="preserve"> آوده‏اند تااینکه کیفیت تعلق جعل به‌ وجود و کیفیت ربط این موجود به جاعل [را مطرح کنند] و این مسئله باعث شده که این تعبیر و اصطلاح در اینجا براى این قضیه آورده بشود و مى‏فرمایند که نتیجۀ این بحث‌هایی که تابه‌حال در اقسام مختلفۀ جعل شد به اینجا رسیدیم که تعقل جعل نسبت به خود ماهیت </w:t>
      </w:r>
      <w:r>
        <w:rPr>
          <w:rStyle w:val="Arabi"/>
          <w:rtl w:val="0"/>
          <w:lang w:val="fa-IR"/>
        </w:rPr>
        <w:t xml:space="preserve">مِن حیثُ هى هى</w:t>
      </w:r>
      <w:r>
        <w:rPr>
          <w:rtl w:val="0"/>
          <w:lang w:val="fa-IR"/>
        </w:rPr>
        <w:t xml:space="preserve"> معنا ندارد، زیرا ماهیت، شیئی نیست تااینکه موجب ارتباط با جاعل باشد و ماهیت خودش فی‌حدّ‌نفسه </w:t>
      </w:r>
      <w:r>
        <w:rPr>
          <w:rStyle w:val="Arabi"/>
          <w:rtl w:val="0"/>
          <w:lang w:val="fa-IR"/>
        </w:rPr>
        <w:t xml:space="preserve">لا أیسٌ و لا لیسٌ</w:t>
      </w:r>
      <w:r>
        <w:rPr>
          <w:rtl w:val="0"/>
          <w:lang w:val="fa-IR"/>
        </w:rPr>
        <w:t xml:space="preserve"> درحالی‌که تعقل جعل باید به یک امرى محسوس و ملموس باشد که آن حیثیت ظهورى او در خارج باید عین همان حیثیت وجودى علت در یک مرتبۀ ضعیف‌تر باشد و ماهیت معلول که نمى‏تواند عین ماهیت علت باشد.</w:t>
      </w:r>
    </w:p>
    <w:p>
      <w:pPr>
        <w:pStyle w:val="Heading6"/>
      </w:pPr>
      <w:r>
        <w:rPr>
          <w:rtl w:val="0"/>
          <w:lang w:val="fa-IR"/>
        </w:rPr>
        <w:t xml:space="preserve">اهمیت مسئلۀ علیت!</w:t>
      </w:r>
    </w:p>
    <w:p>
      <w:pPr/>
      <w:r>
        <w:rPr>
          <w:rtl w:val="0"/>
          <w:lang w:val="fa-IR"/>
        </w:rPr>
        <w:t xml:space="preserve">این مسئلۀ علیت خیلى مسئلۀ مهمى است و من خیال مى‏کنم به ‌همین‌ جهت است که مرحوم آخوند در اینجا فرموده‏اند که این نحوۀ ارتباط مجهول الکنه و مبهم است ولى حقیقت و واقعیتش ثابت است. تا این مسئلۀ علیت براى انسان روشن نشود بسیارى از حقایق و دقایق فلسفه براى انسان همین‌طور مجهول مى‏ماند. بله، انسان الفاظى را استعمال مى‏کند و برداشت‌هاى مبهمى را دارد ولى این قضیۀ علیت کلید همۀ مطالب است و حتى به اعتقاد بنده مسئلۀ اصالة الوجود و تشخص در وجود و مراتب تشکیک در وجود هم بر مسئلۀ علیت استوار است لا بالعکس. گرچه در اینجا مرحوم آخوند مسائل علت و معلول را مسائلى است که بعداً ذکر مى‏کنند ولکن از نقطه‌نظر رتبی باید این مسئلۀ علیت را مقدم ذکر کرد، گرچه شاید از نقطه‌نظر سلسله مراتب معرفت و ادراک جا براى تقدم نباشد مثلاً تا شخص وجود را نداند نمى‌تواند به ظهورات وجود توجه کند و تا به ماهیت اطلاعى نداشته باشد نمى‏تواند او را امر اعتباری و حدود و ثغور وجود بداند تا مسئلۀ مراتب تشکیک براى او روشن نشود نمى‏تواند به قضیۀ علیت‏ در اینجا پی ببرد ولى از نقطه‌نظر خارجى و واقعى این مسئلۀ علیت بسیار مسئلۀ مهمى است که برداشت صحیح از علت اقتضاء مى‏کند که تمام بحث‌های اصالت ماهیت و تعلق جعل به ماهیت، مجعولیت ماهیت و مسائلى که حتى مربوط به عرفان نظرى است که مسئلۀ وحدت افعالى و صفاتى و اسمائى هست همۀ اینها با این قضیۀ علیت حل مى‏شود. لذا مى‏بینیم که بزرگان از جمله خود مرحوم آخوند و همین‌طور افرادى که بعداً آمدند و به‌صورت فارسى مسائلى را مطرح کردند حتى در قضیۀ قوه و فعل این مسئله هست و باز برگشت آن به مسئلۀ علیت است و افرادى که در این زمینه [مسائلی را مطرح کردند] به‌نظر مى‏رسد که در یک فى الجمله تردیدى در این قضیه واقع شدند به‌واسطۀ ورود خواطر و تفکرات مختلف از یک نظر و از نظر دیگر عدم وصول به حاق و کُنه حقیقت علیت از جهت دیگر در عبارتشان یک نوع اضطرابى نسبت به این مطلب دیده مى‏شود. در این ‌باره اگر رفقا مى‏خواهند به مطلب بیشتر توجه کنند در مبحث قوه و فعل از روش رئالیسم به آن مبحث مراجعه کنند و این اضطراب را در آنجا ببینند که آیا یک هم‌چنین چیزى مشاهده مى‏شود یا نه.</w:t>
      </w:r>
    </w:p>
    <w:p>
      <w:pPr>
        <w:pStyle w:val="Heading6"/>
      </w:pPr>
      <w:r>
        <w:rPr>
          <w:rtl w:val="0"/>
          <w:lang w:val="fa-IR"/>
        </w:rPr>
        <w:t xml:space="preserve">علیت یعنى نزول نفس علت در قالب معلول</w:t>
      </w:r>
    </w:p>
    <w:p>
      <w:pPr/>
      <w:r>
        <w:rPr>
          <w:rtl w:val="0"/>
          <w:lang w:val="fa-IR"/>
        </w:rPr>
        <w:t xml:space="preserve">مرحوم آخوند این قضیۀ علیت را اینجا به این نحو برای استمداد بر مجعولیت وجود قرار مى‏دهند و مى‏فرمایند که اگر ماهیت، مجعوله باشد حقیقت جعل همان حقیقت و حیثیت علیت است و چیزى غیر از آن نیست. علیت یعنى نزول نفس علت در قالب معلول، غیر از این چیزى نیست. اگر خود علت فى‌حدّنفسه و بذاته تنزل در معلول کند معنایش این است که حیثیت وجودى معلول و شناخت این حیثیت؛ چه حیثیت خارجى، چه حثیثت ذهنى، چه حیثیت تکوینى، چه حیثیت تصورى و حدود موجود و مجعول عین آن ربط و ذات علت است بدون کم‌وزیاد یعنی از نقطه‌نظر خود اصل و هویت منتها در یک مرتبۀ ضعیف‌تر و بعد مرتبۀ ضعیف‌تر است که موجب افتراق بین آن معلول و علت خواهد شد و چیز دیگرى غیر از این نخواهد بود.</w:t>
      </w:r>
    </w:p>
    <w:p>
      <w:pPr/>
      <w:r>
        <w:rPr>
          <w:rtl w:val="0"/>
          <w:lang w:val="fa-IR"/>
        </w:rPr>
        <w:t xml:space="preserve">بنابراین اگر ماهیت را مجعول بدانیم باید حقیقت و ماهیت و تجوهر ذات معلول که این ماهیت است عین همان تجوهر ذات‏ علت باشد و شناخت علت بدون شناخت معلول محال باشد درحالی‌که می‌توانیم ماهیات را جداى از هم تصور کنیم. این حقیقت ربطیه، شىء مجهول الکُنه است که انسان غیر از مشاهدۀ حضورى و شهودى نمى‏تواند به این مطلب اطلاع و دسترسى پیدا بکند. بنابراین به فرمایش مرحوم حاجى که مى‏فرمایند:</w:t>
      </w:r>
    </w:p>
    <w:p>
      <w:pPr/>
      <w:r>
        <w:rPr>
          <w:rtl w:val="0"/>
          <w:lang w:val="fa-IR"/>
        </w:rPr>
        <w:t xml:space="preserve"> </w:t>
      </w:r>
      <w:r>
        <w:rPr>
          <w:rStyle w:val="Arabi"/>
          <w:rtl w:val="0"/>
          <w:lang w:val="fa-IR"/>
        </w:rPr>
        <w:t xml:space="preserve">مفهومه مِن أعرفِ الأشیاء  ***  و کُنهه فی غایة الخفاء</w:t>
      </w:r>
      <w:r>
        <w:rPr>
          <w:rStyle w:val="FootnoteReference"/>
        </w:rPr>
        <w:footnoteReference w:id="4"/>
      </w:r>
    </w:p>
    <w:p>
      <w:pPr/>
      <w:r>
        <w:rPr>
          <w:rtl w:val="0"/>
          <w:lang w:val="fa-IR"/>
        </w:rPr>
        <w:t xml:space="preserve">همین‌طور خود شناخت کُنه مجهول و معلوم و این امر خارجى که عبارت از وجود است محال است البته [به‌جای] محال است باید بگوییم که بسیار مستبعد است و مرحوم حاجى هم نمى‏فرمایند: </w:t>
      </w:r>
      <w:r>
        <w:rPr>
          <w:rStyle w:val="Arabi"/>
          <w:rtl w:val="0"/>
          <w:lang w:val="fa-IR"/>
        </w:rPr>
        <w:t xml:space="preserve">مُمتنعٌ </w:t>
      </w:r>
      <w:r>
        <w:rPr>
          <w:rtl w:val="0"/>
          <w:lang w:val="fa-IR"/>
        </w:rPr>
        <w:t xml:space="preserve">مى‏فرمایند: </w:t>
      </w:r>
      <w:r>
        <w:rPr>
          <w:rStyle w:val="Arabi"/>
          <w:rtl w:val="0"/>
          <w:lang w:val="fa-IR"/>
        </w:rPr>
        <w:t xml:space="preserve">فی غایةِ الخِفاء.</w:t>
      </w:r>
      <w:r>
        <w:rPr>
          <w:rtl w:val="0"/>
          <w:lang w:val="fa-IR"/>
        </w:rPr>
        <w:t xml:space="preserve"> این </w:t>
      </w:r>
      <w:r>
        <w:rPr>
          <w:rStyle w:val="Arabi"/>
          <w:rtl w:val="0"/>
          <w:lang w:val="fa-IR"/>
        </w:rPr>
        <w:t xml:space="preserve">فی غایةِ الخِفاء</w:t>
      </w:r>
      <w:r>
        <w:rPr>
          <w:rtl w:val="0"/>
          <w:lang w:val="fa-IR"/>
        </w:rPr>
        <w:t xml:space="preserve"> است مگر اینکه آن حقیقت وجود براى انسان روشن بشود و به یک صورت عینى براى انسان تجلى کند که آن تجلى هم با مشاهدۀ قلب است. گرچه انسان مى‏تواند از نقطه‌نظر تصور ذهنى و تعمّل عقلانى به این مسئله نزدیک بشود.</w:t>
      </w:r>
    </w:p>
    <w:p>
      <w:pPr/>
      <w:r>
        <w:rPr>
          <w:rtl w:val="0"/>
          <w:lang w:val="fa-IR"/>
        </w:rPr>
        <w:t xml:space="preserve">براین‌اساس ماهیت نمى‏تواند مجعول باشد. صیرورت هم که اصلاً طبیعى است و جایى براى این مسئله نیست زیرا صیرورت عبارت از اعتبار است و اتصاف وجود به ماهیت، برگشت وجود به ماهیت، اینکه وجود داراى ماهیت بشود، ماهیت پیدا کردن و متصف به ماهیت شدن این اتصاف یک امر اعتبارى است که وجود این امر اعتبارى قبل از تعلق جعل نیست بلکه وجود امور اعتباریه به‌لحاظ منشأ انتزاع آنها بعد از تحقق موصوف در خارج است والاّ قبل از آن معنا ندارد که امور اعتباریه وجود داشته باشند و بر آنها حکم بشود و آنها بتوانند موضوع یا محمول قرار بگیرند. در هردو صورت این باید مسبوق به ‌وجود خارجی باشد درحالی‌که امور اعتباریه خودش فی‌حدّنفسه یک امر اعتبارى و انتزاعى است و منشأ انتزاعش است که باید بحث را به منشأ انتزاع برد و هیچ‌وقت جعل که افاضۀ علیت و اضافۀ اشراقیت است به امر اعتبارى تعلق نمى‏گیرد. خود شما دارید مى‏گویید که اعتباری، از همان اول دارید تکلیفتان را روشن مى‏کنید. آن‌وقت چطور ممکن است که ارادۀ جاعل به یک اعتبارى تعلق بگیرد؟ اگر به امر اعتبارى تعلق بگیرد بنابراین دیگر وجود خارجى ندارد و وجود خارج دیگر معنا ندارد. چند نفر در اینجا نشسته‏اند وجود خارجى اینها همین آحادى است که یک‌یک داریم مشاهده مى‏کنیم. یک امر اعتبارى بر اینها بار است که آن جهت اجتماع آنها است خب آن امر اعتبارى با رفتن از این در هم ازبین مى‏رود پس جاعل مى‏خواهد به چه تعلق بگیرد؟! مگر آن امر اعتبارى همیشه با انسان مى‏ماند؟! تا وقتی که افراد بیایند و در یک جا جمع بشوند حکم به اجتماع بر آنها صادق است اما وقتی که یکى‌یکى از این در بیرون رفتند و از دو نفر یک نفر اینجا ماند [دیگر اجتماع نیست] عین مسلم بن عقیل بنده خدا مظلوم که یکى‌یکى شمرد حالا سی نفر پشت سرش ایستاده‌اند 29تا شدند بعد 25تا شدند! تا آخر سر پشت سرش را که نگاه کرد دید [هیچ کسی نیست]</w:t>
      </w:r>
      <w:r>
        <w:rPr>
          <w:rStyle w:val="FootnoteReference"/>
        </w:rPr>
        <w:footnoteReference w:id="5"/>
      </w:r>
      <w:r>
        <w:rPr>
          <w:rtl w:val="0"/>
          <w:lang w:val="fa-IR"/>
        </w:rPr>
        <w:t xml:space="preserve"> عجب مردم بى‌حیایى بودند واقعاً عجب! نماز عشا را که خواند دید یک نفر هم نیست همه الفرار!! این دین مردم همین است‏ هان! این دین مردم که این‌قدر برای آن به سرمان مى‏زنیم همین است. واقعاً این قضیه براى خود من که خیلى ملموس و عجیب است! نگاه مى‏کند یک نفر هم پشت سرش نیست اِ اِ همین‌هایی که دعوتش کردند! چه مى‏گویند که این عرب‌ها مهمان‌نواز هستند؟! خودت دعوت کردی بى‌حیا! نامه دادى فلان کردى هان؟! حالا این هیچى بعد آمدند سر امام حسین علیه‌السّلام را گرفتند و کشتند آن که دیگر عالی‌تر از این شد! بله، خلاصه از آن هیئت اجتماعیه‏ای که سی هزار نفر هستیم و شمشیرها همه آماده است و درخت‌ها سبز شده است! از آن هیئت اجتماعیه [هیچ کسی نماند] چون اعتبارى بود آقاى... به جان شما! چون این هیئت اجتماعى اعتبارى بود با یک اعلامیه رفت! با یک [شایعه که] لشکر یزید ده فرسخى کوفه هست پدرتان را درمی‌آورد رفتند! حالا نرفتند ببینند هان! الفرار! برو ببین شاید دارد دروغ مى‏گوید! از کجا دارد این حرف‌ها را می‌زند؟! با یک شایعه رفتند! الآن هم همین است ‏هان! الآن همان است با یک شایعه خلق سریع به این‌طرف می‌رود و با یک شایعه همان‌هایی که رفتند همان‌ها برمى‏گردند فقط با یک شایعه و یک خبر و یک مطلب [می‌روند]! نه در رفتن تفکر و ثبات قدم هست و نه در برگشتن ثبات قدم و تفکر است شاید آن‌طرف هم دروغ مى‏گویند! بایست ببین مسئله چیست تحقیق و تفحص کن بعد راهت را انتخاب کن چون اعتبارى بود وقتى مسئله اعتبارى است دیگر اسمش همراهش هست و به اعتبار هم جعل تعلق نمى‏گیرد.</w:t>
      </w:r>
    </w:p>
    <w:p>
      <w:pPr/>
      <w:r>
        <w:rPr>
          <w:rtl w:val="0"/>
          <w:lang w:val="fa-IR"/>
        </w:rPr>
        <w:t xml:space="preserve">لذا حضرت مسلم علیه‌السّلام در آن بالاى دارالإماره به‌سمت کوفه به سیدالشهداء رو کرد و عرض کرد که تمام این حساب‌‌وکتاب‌هایی که شما بار کرده بودید بر اعتبار بار کردید. شما دیگر اینجا نیایید! وقتی می‌خواست وصیت کند</w:t>
      </w:r>
      <w:r>
        <w:rPr>
          <w:rStyle w:val="FootnoteReference"/>
        </w:rPr>
        <w:footnoteReference w:id="6"/>
      </w:r>
      <w:r>
        <w:rPr>
          <w:rtl w:val="0"/>
          <w:lang w:val="fa-IR"/>
        </w:rPr>
        <w:t xml:space="preserve"> به [ایشان گفتند که] وصیت دارى یا نداری مثل اینکه حضرت مسلم هم مبحث جعل را خوانده بود تعلق جعل را هم خوانده بود و فهمیده بود چه کلاهى سرشان رفته است!! البته کلاه که سر او نرفته او که دارد راه خودش را مى‏رود ولى این مردم مذبذب و... حالا که ما ‏خواندیم باید حواسمان جمع باشد که هیچ‌وقت نمی‌شود انسان بر اعتبار حساب را باز کند. بساط خیلی بساط عالی است. این مربوط به آن بود.</w:t>
      </w:r>
    </w:p>
    <w:p>
      <w:pPr/>
      <w:r>
        <w:rPr>
          <w:rtl w:val="0"/>
          <w:lang w:val="fa-IR"/>
        </w:rPr>
        <w:t xml:space="preserve">مرحوم آخوند مى‏فرمایند که ما تکلیف‌مان را با صیرورت روشن کردیم. اصالة الماهیه هم که این‌طورى درآمد، مجعولیت ماهیت لا یبقى الاّ فقط یک وجود که آن اراده به یک امر ملموس و محسوس و مشاهد خارجى تعلق مى‏گیرد. آخر این جاعل وقتى که مى‏خواهد کارى انجام بدهد روی هوا که انجام نمى‏دهد مثل آن قضیۀ حوله بافتن یارو است که گفت: فقط حلال‌زاده آن را مى‏بیند! گفت که یک حولۀ دو مترى بافتم. گفت که کجاست؟ گفت که نه، حلال‌زاده مى‏بیند! آن گوشه‏اش هست و این گوشه‏اش هست و این پایین حوله است و فقط حلال‌زاده است که مى‏بیند!! آخر جعل که این‌طورى نیست! به یک امر معلوم و محسوس خارجی و ملموسی که انسان بتواند اشارۀ حسیه یا عقلیه نسبت به او داشته باشد جعل به این تعلق مى‏گیرد. این کلام مرحوم آخوند تا اینجا بود.</w:t>
      </w:r>
    </w:p>
    <w:p>
      <w:pPr>
        <w:pStyle w:val="Heading6"/>
      </w:pPr>
      <w:r>
        <w:rPr>
          <w:rtl w:val="0"/>
          <w:lang w:val="fa-IR"/>
        </w:rPr>
        <w:t xml:space="preserve">توجیه کلام مشائینِ قائلِ به صیرورت</w:t>
      </w:r>
    </w:p>
    <w:p>
      <w:pPr/>
      <w:r>
        <w:rPr>
          <w:rtl w:val="0"/>
          <w:lang w:val="fa-IR"/>
        </w:rPr>
        <w:t xml:space="preserve">ایشان در تتمۀ مطلب یک قضیه‌ای به‌نحو اشاره ذکر می‌کنند که من خیال می‌کنم آن مسئله‌ای را که خدمت رفقا راجع به تعلق جعل به صیرورت بود ایشان می‌خواهند آن مطلب را در اینجا اشاره کنند گویا ذهن ایشان هم نسبت به این قضیه رفته که مقصود از جعل تعلق جاعل و ارادۀ جاعل به امر اعتبارى نیست بلکه مقصود عبارت از آن تصرفاتى است که جاعل در آن اسماء و صفات خودش و در وجود؛ ـ حالا آنها یک مباحث دیگر است ـ تصرفى که جاعل و فاعل در وجود به‌وجود مى‏آورد بعد از آن تصرف </w:t>
      </w:r>
      <w:r>
        <w:rPr>
          <w:rStyle w:val="Arabi"/>
          <w:rtl w:val="0"/>
          <w:lang w:val="fa-IR"/>
        </w:rPr>
        <w:t xml:space="preserve">صارَ الوجودُ مَجعولاً</w:t>
      </w:r>
      <w:r>
        <w:rPr>
          <w:rtl w:val="0"/>
          <w:lang w:val="fa-IR"/>
        </w:rPr>
        <w:t xml:space="preserve"> که وقتی این تصرف شد آن‌وقت مى‏گوییم که این وجود، وجود خارجى است. بنابراین جعل به اتصاف وجود به کیفیت صورت خارجی تعلق مى‏گیرد، نه به خود وجودیت بنفسه بدون هیچ دخل و تصرف. نه! به وجودى که مى‏خواهد صورت پیدا کند، وجود که صورت و شکل و قیافه نداشت، وجود که بسیط بود، وجود که وزن و رنگ و جده نداشت، این وجودى که مى‏خواهد به این شکل برگردد بگوییم که جعل به ارادۀ در تحول تعلق مى‏گیرد.</w:t>
      </w:r>
    </w:p>
    <w:p>
      <w:pPr/>
      <w:r>
        <w:rPr>
          <w:rtl w:val="0"/>
          <w:lang w:val="fa-IR"/>
        </w:rPr>
        <w:t xml:space="preserve">اگر این حرف را بزنیم حرف بدی نزدیم که مرحوم آخوند در اینجا مى‏خواهند اشاره کنند به همان مطلبى که قبلاً خدمت رفقا عرض شد که جعل به ‌وجود تعلق نمى‏گیرد و به ماهیت هم تعلق نمى‏گیرد بلکه جعل به صیرورت است منتها آن صیرورت نه به معناى تحقق امر خارجى است بلکه صیرورت عبارت از تحول است که این تحول باید مبتنی بر موضوع باشد و آن موضوع عبارت از وجود بسیط است. آن وجود بسیط خودش مبرء براى این تعلق است، نه وجود اعتبارى که عبارت از همان مفهوم وجود باشد و نه ماهیت که عبارت از همان حدود و ثغور باشد. لذا بسیارى از بزرگان که اینها آمده‏اند از مشائین قائل به صیرورت شدند شاید نظر آن بندگان خدا همین است چرا ما بیاییم بیخود و بى‌جهت تا جایى که می‌تواند محملى براى کلام بزرگان فرض کرد انسان بیاید و کلام آنها را حمل بر طریق ناصواب کند. نظر آن بزرگان مثل مرحوم محقق دوانى مثل مرحوم میرسید شریف جرجانى که اینها قائل به صیرورت وجود هستند و جعل را به صیرورت گرفته‏اند ما در اینجا بر همان حقیقت و حمل صحیح حمل کنیم.</w:t>
      </w:r>
    </w:p>
    <w:p>
      <w:pPr>
        <w:pStyle w:val="Heading6"/>
      </w:pPr>
      <w:r>
        <w:rPr>
          <w:rtl w:val="0"/>
          <w:lang w:val="fa-IR"/>
        </w:rPr>
        <w:t xml:space="preserve">تعریف از دقت نظر مرحوم محقق دوانی!</w:t>
      </w:r>
    </w:p>
    <w:p>
      <w:pPr/>
      <w:r>
        <w:rPr>
          <w:rtl w:val="0"/>
          <w:lang w:val="fa-IR"/>
        </w:rPr>
        <w:t xml:space="preserve">شخصى مثل محقق دوانى کسى نیست که بیاید و بین اعتباریت و حقیقت فرق نگذارد! اتفاقاً وقتى که مطالب ایشان را مى‏خوانم یعنى مطالعات سابق در وقتى که </w:t>
      </w:r>
      <w:r>
        <w:rPr>
          <w:rtl w:val="0"/>
          <w:lang w:val="fa-IR"/>
        </w:rPr>
        <w:t xml:space="preserve">اسفار</w:t>
      </w:r>
      <w:r>
        <w:rPr>
          <w:rtl w:val="0"/>
          <w:lang w:val="fa-IR"/>
        </w:rPr>
        <w:t xml:space="preserve"> می‌خواندم همین‌طور بعد مدت‌ها اصلاً بیشتر روى کلمات مرحوم محقق دوانى بود و شاید اکثر حواشى ایشان را مطالعه کردم و ایشان را اتفاقاً بسیار دقیق النظر یافتم و در جاهای متفاوته و متعدده دقتی که ایشان داشتند حتی از بسیاری از دیگر فلاسفۀ معروف ما ایشان را دقیق‌تر یافتم. افرادى به این بزرگی آیا بین ماهیت و اعتباریت را فرق نمى‏گذارند؟! بین معناى مصدرى و اسم مصدری تفاوت نمى‏گذارند؟! این چه حرفى است که بخواهیم بزنیم؟! ما نمى‏توانیم یک هم‌چنین جرئتی را به خود بدهیم که نسبت به بزرگان یک هم‌چنین مطالبی [بگوییم] مگر اینکه آن‌قدر کلماتشان صریح باشد که جایى براى تأویل و توجیه نداشته باشد والاّ فى‌حدّنفسه اینها افرادى هستند که با تحقیق صبحت نکنند گرچه استدلالى را که ایشان بر همان مسئلۀ صیرورت کردند این نحوه از استدلال ما نیست ولکن حقیقت مطلب و فهم نسبت به مسئله اقتضاء مى‏کند که بگوییم که اینها منظورشان این بوده و نگوییم که اصلاً مسئلۀ صیرورت یک معنای اعتباری است و گردش وجود به ماهیت که یک امر اعتبارى است که بعد از تحقق وجود خارجى انتزاع مى‏شود، نه قبل از تحقق خارجى که هنوز چیزى نیست. ما بگوییم که اراده به او تعلق گرفته یعنی اراده به یک امر اعتبارى تعقل گرفته که آن امر اعتبارى اصلاً بعد از تحقق خارجى معلول است بعد از اینکه معلول در خارج هست آن‌وقت تازه اراده نسبت به او تعلق گرفته که دیگر کار از کار گذشته و آن وجود منقلب به شکل و صورت شده است که حالا ما داریم این معنا را انتزاع مى‏کنیم که این معنا از آن معنای فعلیت و انشاء و ایجاد فرق می‌کند و تفاوت دارد. این کلام ایشان بود.</w:t>
      </w:r>
    </w:p>
    <w:p>
      <w:pPr/>
      <w:r>
        <w:rPr>
          <w:rtl w:val="0"/>
          <w:lang w:val="fa-IR"/>
        </w:rPr>
        <w:t xml:space="preserve">لذا بعداً ایشان کلام محقق طوسى را هم بر همین معنا حمل مى‏کنند و به یک وجهى برایش وجهى ذکر مى‏کنند.</w:t>
      </w:r>
    </w:p>
    <w:p>
      <w:pPr>
        <w:pStyle w:val="NaghlegholMatn"/>
      </w:pPr>
      <w:r>
        <w:rPr>
          <w:rStyle w:val="Arabi"/>
          <w:rtl w:val="0"/>
          <w:lang w:val="fa-IR"/>
        </w:rPr>
        <w:t xml:space="preserve">فالحقُّ فی هذهِ المَسألةِ عَلىٰ ما یُؤدّی إلیهِ النَّظرُ الصَّحیح هوَ مَجعولیةُ الوجودِ بِالجعلِ البَسیطِ لا نَفسُ الماهیاتِ لِعدمِ ارتباطِها فی حدودِ أنفُسِها بِالفاعلِ</w:t>
      </w:r>
      <w:r>
        <w:rPr>
          <w:rtl w:val="0"/>
          <w:lang w:val="fa-IR"/>
        </w:rPr>
        <w:t xml:space="preserve">.</w:t>
      </w:r>
      <w:r>
        <w:rPr>
          <w:rStyle w:val="FootnoteReference"/>
        </w:rPr>
        <w:footnoteReference w:id="7"/>
      </w:r>
    </w:p>
    <w:p>
      <w:pPr/>
      <w:r>
        <w:rPr>
          <w:rtl w:val="0"/>
          <w:lang w:val="fa-IR"/>
        </w:rPr>
        <w:t xml:space="preserve">حق در این مسئله بر آن کیفیتی که نظر صحیح به آن سوق داده مى‏شود [مجعولیت وجود به جعل بسیط است] زیرا ماهیات در آن حدود خودشان، جنس و فصل‌های خودشان، نوعیت خودشان و کلیات خودشان هیچ ارتباطى به فاعل ندارند چون فاعل داراى ماهیتى است و اینها داراى ماهیت دیگری هستند و حتى هیچ ارتباطى با ماهیت امثال خودش هم ندارد.</w:t>
      </w:r>
    </w:p>
    <w:p>
      <w:pPr>
        <w:pStyle w:val="NaghlegholMatn"/>
      </w:pPr>
      <w:r>
        <w:rPr>
          <w:rStyle w:val="Arabi"/>
          <w:rtl w:val="0"/>
          <w:lang w:val="fa-IR"/>
        </w:rPr>
        <w:t xml:space="preserve">وَ قَد بَیَّنا أنَّ المَعلولَ مِن حَیثُ کونهِ مَعلولاً مُرتبطٌ بِالعلةِ نَحواً مِن الارتباطِ مَجهولُ الکُنه سِواءً کانَ الوجود ذا ماهیةٍ.</w:t>
      </w:r>
    </w:p>
    <w:p>
      <w:pPr/>
      <w:r>
        <w:rPr>
          <w:rStyle w:val="Arabi"/>
          <w:rtl w:val="0"/>
          <w:lang w:val="fa-IR"/>
        </w:rPr>
        <w:t xml:space="preserve">مَجهولُ الکُنه </w:t>
      </w:r>
      <w:r>
        <w:rPr>
          <w:rtl w:val="0"/>
          <w:lang w:val="fa-IR"/>
        </w:rPr>
        <w:t xml:space="preserve">آن مجهول به آن نحو برمى‏گردد. روشن شد که معلول از حیثیت معلولیت خودش ارتباط با علت دارد به یک نحوى از ارتباط که آن نحو مجهول الکنه است و حقیقتش براى ما روشن نیست زیرا آن حقیقت به تصور نمى‏آید و براى ادراک آن حقیقت انسان باید به اصل وجود ادراک پیدا کند که آن مسئلۀ اصل وجود هم جنس و فصل و ماهیت ندارد پس به ادراک شهودى و حضورى برمى‏گردد تااینکه آن جهل به‌واسطۀ همان ادراک برطرف بشود.</w:t>
      </w:r>
    </w:p>
    <w:p>
      <w:pPr/>
      <w:r>
        <w:rPr>
          <w:rtl w:val="0"/>
          <w:lang w:val="fa-IR"/>
        </w:rPr>
        <w:t xml:space="preserve">این همان معنایى است که بزرگان به طرقى آن را نقل مى‏کنند؛ ابن‌فارض هم در اشعارش از این معنا حکایت مى‏کند که «</w:t>
      </w:r>
      <w:r>
        <w:rPr>
          <w:rStyle w:val="Arabi"/>
          <w:rtl w:val="0"/>
          <w:lang w:val="fa-IR"/>
        </w:rPr>
        <w:t xml:space="preserve">یَقولونَ لی: صِفها»</w:t>
      </w:r>
      <w:r>
        <w:rPr>
          <w:rStyle w:val="FootnoteReference"/>
        </w:rPr>
        <w:footnoteReference w:id="8"/>
      </w:r>
      <w:r>
        <w:rPr>
          <w:rtl w:val="0"/>
          <w:lang w:val="fa-IR"/>
        </w:rPr>
        <w:t xml:space="preserve"> اشاره به این مسئله است که ادراکى براى انسان حاصل مى‏شود که براى آن ادراک واضع لغت وضع نکرده است. حقیقتى براى انسان روشن مى‏شود که براى به زبان آوردن آن حقیقت واژه‏اى پیدا نمى‏شود در عینی که هست و انسان خواب نمى‏بیند! حالا اگر خواب هم ببیند بالأخره دارد یک چیزى مى‏بیند! ولی یک معنا را ادراک مى‏کند که یک ذره‏اش را به تمام عالم بدهند همۀ عالم پاشیده مى‏شود! این حقیقت را دارد ادراک مى‏کند اما وقتى به او مى‏گویند که تو را چه شده است؟ مى‏گوید که نمی‌فهمم و نمى‏دانم چه بگویم؟ و من خودم نسبت به بزرگان شاهد بودم که یک هم‌چنین مسائلى از آنها مشاهده مى‏شد که مطالبى را که ادراک مى‏کردند نمى‏توانستند بیان کنند و توضیح بدهند و مى‏گفتند که قابل براى بیان نیست؛ یعنى جمله‌ای که بتواند حکایت از این حال درونى کند و بخواهد آن حقیقت یافته شده را در قلب، بیان و مجسم کند یک هم‌چنین جمله‏اى خلق نشده تا بشود از آن استفاده کرد. خوش به حالشان!</w:t>
      </w:r>
    </w:p>
    <w:p>
      <w:pPr>
        <w:pStyle w:val="NaghlegholMatn"/>
      </w:pPr>
      <w:r>
        <w:rPr>
          <w:rStyle w:val="Arabi"/>
          <w:rtl w:val="0"/>
          <w:lang w:val="fa-IR"/>
        </w:rPr>
        <w:t xml:space="preserve">سِواءً کانَ الوجودُ ذا ماهیةٍ تَقتضی لِذاتِها تَعلقاً بِماهیةٍ مِنَ الماهیاتِ من دونِ الافتقار إلى تَخللٍ بَینَ الماهیةِ و بَینه أو لم یکن کذلک</w:t>
      </w:r>
      <w:r>
        <w:rPr>
          <w:rtl w:val="0"/>
          <w:lang w:val="fa-IR"/>
        </w:rPr>
        <w:t xml:space="preserve">.</w:t>
      </w:r>
      <w:r>
        <w:rPr>
          <w:rStyle w:val="FootnoteReference"/>
        </w:rPr>
        <w:footnoteReference w:id="9"/>
      </w:r>
    </w:p>
    <w:p>
      <w:pPr/>
      <w:r>
        <w:rPr>
          <w:rtl w:val="0"/>
          <w:lang w:val="fa-IR"/>
        </w:rPr>
        <w:t xml:space="preserve">حالا چه اینکه وجود داراى ماهیتى باشد مثل همین ماهیت‌ها و وجودات خارجیه این عالم انوار و صور که ذاتاً اقتضاء تعلق به یک ماهیت از ماهیاتی را بکند بدون اینکه احتیاج به تخللى بین‏ ماهیت و آن وجود باشد. نه، خود ماهیت فی‌حدّنفسه اقتضاء تعلق به یک ماهیتی را می‌کند یعنی آن وجود خارجى بدون ماهیت تحقق پیدا نمى‏کند. وجود انسان در خارج بدون صورت و ماده تحقق پیدا نمى‏کند و تخللى بین آن وجود و آن ماهیت نمى‏شود. البته نه نفس هان! نفس تخلل مى‏شود نفس خودش داراى حقیقتى است</w:t>
      </w:r>
    </w:p>
    <w:p>
      <w:pPr/>
      <w:r>
        <w:rPr>
          <w:rStyle w:val="Arabi"/>
          <w:rtl w:val="0"/>
          <w:lang w:val="fa-IR"/>
        </w:rPr>
        <w:t xml:space="preserve">هَبَطَت إلَیکَ مِنَ المَحَلِّ الأرفَع‏  ***  وَرقَآءُ ذاتُ تُعَزُّزٍ و تَمَنُّع‏</w:t>
      </w:r>
    </w:p>
    <w:p>
      <w:pPr/>
      <w:r>
        <w:rPr>
          <w:rStyle w:val="Arabi"/>
          <w:rtl w:val="0"/>
          <w:lang w:val="fa-IR"/>
        </w:rPr>
        <w:t xml:space="preserve">مَحجوبَةٌ عَن کُلِّ مُقلَةِ عارِف</w:t>
      </w:r>
      <w:r>
        <w:rPr>
          <w:rtl w:val="0"/>
          <w:lang w:val="fa-IR"/>
        </w:rPr>
        <w:t xml:space="preserve">‏</w:t>
      </w:r>
      <w:r>
        <w:rPr>
          <w:rStyle w:val="Arabi"/>
          <w:rtl w:val="0"/>
          <w:lang w:val="fa-IR"/>
        </w:rPr>
        <w:t xml:space="preserve">  ***  وَ هىَ الَّتى سَفَرَت و لَم تَتَبَرقَع‏</w:t>
      </w:r>
      <w:r>
        <w:rPr>
          <w:rStyle w:val="FootnoteReference"/>
        </w:rPr>
        <w:footnoteReference w:id="10"/>
      </w:r>
    </w:p>
    <w:p>
      <w:pPr>
        <w:pStyle w:val="Heading6"/>
      </w:pPr>
      <w:r>
        <w:rPr>
          <w:rtl w:val="0"/>
          <w:lang w:val="fa-IR"/>
        </w:rPr>
        <w:t xml:space="preserve">نیاز ضروری نفس به صورت برای تحقق خارجی</w:t>
      </w:r>
    </w:p>
    <w:p>
      <w:pPr/>
      <w:r>
        <w:rPr>
          <w:rtl w:val="0"/>
          <w:lang w:val="fa-IR"/>
        </w:rPr>
        <w:t xml:space="preserve">این آن جنبه‏اش فرق مى‏کند ولى از نقطه‌نظر خارجى باید ماهیتى این ماهیات را داشته باشد یعنى همان نفس در مرتبۀ روحانیت و روحیتش نیازى به ماهیتى از ماهیات ندارد. تخلل هست ولى این نفس وقتى که مى‏خواهد در خارج صورت پیدا بکند دیگر نمى‏تواند بدون ماهیت در خارج باشد. جبرئیل هم اگر بخواهد در خارج بیاید باید به‌صورت انسان، حیوان ناطق بیاید؛ به صورت آن دحیه کلبی. بالأخره وقتى این مى‏خواهد در خارج تحقق پیدا کند باید به این شکل باشد همین‌طور نفس ناطقه در آن مرتبۀ نورانیت خودش آن جنبۀ ماده و هیولا بودن را ندارد ولى همین وقتى که پایین مى‏آید و ما این را داراى مراتب فرض کنیم در مرتبۀ عالم شهادت ـ نه در مرتبۀ مثال ـ طبعاً باید به ماهیت که عبارت از همین ماده و صورت است لباس بپوشد و تلبس به لباس کند والاّ نفس هست ولی فرد نیست. نفس هست ولیکن آن جهت و حیثیت خارجی را ندارد. گاهى اوقات انسان احساس مى‏کند که افرادى که از دنیا رفتند در کنارشان هستند با آنها هم‌نشین هستند و بعضى‏ها هم مى‏گویند که مثلاً در شب جمعه‏ زیارت رفتیم بعد فلانى را دیدیم در کنارمان هست حالا با چشم مثالى دیده والاّ اینکه نیامده بنشیند وزن و اینها داشته باشد. همین احساسى که او خود را به این نزدیک کرده است همان جنبۀ مثالی است منتها آن جنبۀ مثال آن‌قدر واضح است که انسان آن را به‌صورت خارجى مى‏بیند و خیال مى‏کند که این دوتا چشمش دیده است درحالی‌که چشم ندیده بلکه آن جنبۀ مثالى انسان او را در کنار خود دیده و مشاهده کرده نشسته است ولى همان‌طورى‌که قبلاً خدمت رفقا گفته شد البته بعداً باز اشاره روى این مسئله در بحث نفس در جلد هشتم خواهد آمد که چطور می‌شود انسان آن‌وقت مکاشفاتی که در اینجا برای انسان حاصل می‌شود گاهی از اوقات خواب‌هایی که انسان می‌بیند آن‌قدر این خواب از نقطه‌نظر ارتباط با نفس قوی است که انسان احساس نمی‌کند خواب دیده است و خیال می‌کند در بیداری بوده است درحالی‌که خواب بوده و در خواب دیده است و این مسئله در مکاشفات هست. شخص مکاشفه کرده صورت خارجى نداشته انسان می‌بیند که این قضیه در خارج تحقق پیدا کرده چرا این مسئله انجام می‌شود؟! چون برگشت همۀ اینها به باب معرفت و ادراک است. لازمه و وسیله و علت برای ادراک چشم و گوش و لمس نیست اینها فقط واسطه هستند که نفس یک حقیقتى را به‌واسطۀ اینها از خارج به آن صورت مثالى خودش ملصق مى‏کند و به آن صورت مثالى می‌چسباند. حالا از این چسباندن گاهى اوقات از این مُهر برمى‏دارد مى‏چسباند و گاهى اوقات آن مُهر را برمى‏دارد مى‏چسباند و گاهى اوقات مُهر یکى دیگر را برمى‏دارد مى‏چسباند نه‌اینکه این خود مُهر فی‌حدّنفسه به‌نحو علیت نقش داشته باشد. نه! هرازتا راه دارد و این مى‏آید آن استفاده را از این وسایل مى‏کند. گاهى از اوقات بدون وسیله و آلت مى‏آید این استفاده را مى‏کند و نیاز به چشم و گوش ندارد. لذا با چشم مثالى فرد را مى‏بیند خیال مى‏کند با چشم بصرى و عینى او را دیده است. صوت غیر عادى را مى‏شنود خیال مى‏کند گوش او شنیده خیال مى‏کند. الآن هم هستند می‌آیند به ما می‌گویند که آقا فلان چیز را شنیدیم بعد رفتیم دیدیم صدایى نمی‌آید. گفتم که آقا گوش تو که نشنیده بنده خدا! یک گوش دیگرت بوده! یا فلان چیز و فلان مسئله را دیدیم گفتم که چشم که نمى‏بیند و یک‌ هم‌چنین چیزی که اصلاً در دنیا نیست. یعنى این‌قدر این مسئله مهم و دقیق است که شخص خیال مى‏کند که...</w:t>
      </w:r>
    </w:p>
    <w:p>
      <w:pPr>
        <w:pStyle w:val="Heading6"/>
      </w:pPr>
      <w:r>
        <w:rPr>
          <w:rtl w:val="0"/>
          <w:lang w:val="fa-IR"/>
        </w:rPr>
        <w:t xml:space="preserve">ملاک توجه به مکاشفات</w:t>
      </w:r>
    </w:p>
    <w:p>
      <w:pPr/>
      <w:r>
        <w:rPr>
          <w:rtl w:val="0"/>
          <w:lang w:val="fa-IR"/>
        </w:rPr>
        <w:t xml:space="preserve">و از همین‌جا است که خدمت رفقا گفتیم که بسیارى از افرادى که اینها مدعى رؤیت و لقاء امام زمان صلّی الله علیه و آله و سلّم هستند این با [صورت] مثالى بوده حالا اشکال ندارد که مثالى هم باشد، ما نمى‏گوییم که فقط باید وضع ظاهرى باشد ولى اینها به‌صورت مثالى بوده است. لذا مرحوم آقاى انصارى مى‏فرمودند: نود درصد مطالبى که در </w:t>
      </w:r>
      <w:r>
        <w:rPr>
          <w:rtl w:val="0"/>
          <w:lang w:val="fa-IR"/>
        </w:rPr>
        <w:t xml:space="preserve">نجم الثاقب</w:t>
      </w:r>
      <w:r>
        <w:rPr>
          <w:rtl w:val="0"/>
          <w:lang w:val="fa-IR"/>
        </w:rPr>
        <w:t xml:space="preserve"> مرحوم حاجى نوری گفته همۀ اینها مکاشفات است اینها هم که نمى‏توانند تشخیص بدهند آمده‏اند همه را در کتابشان نوشته‌اند و از اینجا استفاده مى‏کنیم اینکه بزرگان مى‏فرمایند: مکاشفۀ صحیحه داریم مکاشفۀ سقیمه داریم مکاشفۀ خطا داریم و انسان نباید به مکاشفه نگاه کند مگر اینکه این را با موازین تطبیق بدهد و اگر تطبیق کرد توجه کند به‌خاطر همین قضیه است! شخص‏ مکاشفه‏ای مى‏کند و خیال مى‏کند یک هم‌چنین قضیه‏اى انجام شده است از مکاشفه بالاتر ذهن مى‏آید اصلاً کلام مى‏سازد! چطور کارخانۀ چاپخانه چاپ مى‏کند؟ دیده‌ایم این کتاب‌ها همه از چاپخانه درآمده است، ذهن ما هم مى‏آید کلام مى‏سازد اتفاق می‌افتد مثلاً بچه‌های کوچک سه‌ساله یا چهارساله اینها مى‏گویند که یک چیز روى این درخت آمده بود یااینکه یک کبوتر دوتا سر دارد یا از این‌گونه مطالب که می‌گویند، ما نباید به بچه‏ بگوییم که چرا دروغ مى‏گویى! او دروغ نمى‏گوید بلکه ذهنش دارد مى‏سازد و الآن ذهنش دارد صورت مى‏دهد. شب به او مى‏گویند که زود بخواب که لولو مى‏آید تو را مى‏خورد این فردا بلند می‌شود لولو را بالای [دیوار] حیاط مى‏بیند! واقعاً مى‏بیند نگاه مى‏کند مى‏بیند که این بالا روى دیوار یک حیوان و لولویى است با همان شکلى که پدر و مادر برایش ترسیم کرده‏ الآن او را دارد مشاهده مى‏کند و تقصیر هم ندارد باید به او گفت که او حالا مى‏رود، نترس! این الآن ذهنش دارد مى‏سازد و جالب اینجا است که وقتى که ساخت تا وقتى که مى‏میرد تا هشتادسالگی این صورت همراهش هست یعنى تا هشتادسالگی هم نمى‏فهمد مگر از راه غیر عادى یعنى از راه تعقل بفهمد! الآن من در کودکى صورت‌هایی در ذهنم هست مثلاً مجالس و قضایایى هست که بعد وقتى به والده‌مان مى‏گفتم مى‏گفت که اصلاً یک هم‌چنین چیزى نبوده و صحت ندارد! مثلاً در دو یا سه‌سالگی مى‏گویم که در فلان مجلس مثلاً شما با فلانی بودید. می‌گوید که اصلاً هم‌چنین چیزى نبوده و راست هم مى‏گوید یعنى دلیل مى‏آورد مى‏گوید که به این دلیل قطعاً نباید باشد چون اصلاً این‌طرف مرده است یااینکه این چیزى که شما نقل مى‏کنید به این دلیل نباید باشد درحالی‌که آن صورت، آن جلسه، آن مجلس و آن شخص هست ولی [این قضیه] نبوده این قضیه چطورى است که این صورت وقتى که بسته مى‏شود این صورت دیگر ازبین رفتنى نیست.</w:t>
      </w:r>
    </w:p>
    <w:p>
      <w:pPr>
        <w:pStyle w:val="Heading6"/>
      </w:pPr>
      <w:r>
        <w:rPr>
          <w:rtl w:val="0"/>
          <w:lang w:val="fa-IR"/>
        </w:rPr>
        <w:t xml:space="preserve">عدم محو شدن خاطرات</w:t>
      </w:r>
    </w:p>
    <w:p>
      <w:pPr/>
      <w:r>
        <w:rPr>
          <w:rtl w:val="0"/>
          <w:lang w:val="fa-IR"/>
        </w:rPr>
        <w:t xml:space="preserve">لذا خیلى باید مواظب باشیم ها! این خاطراتى که بر ما خطور مى‏کند این خاطره تمامش در روز قیامت همه مى‏آیند صاف مى‏ایستد! خاطرات بد مى‏آیند مى‏ایستند و خاطرات‏ خوب می‌آیند و هیچ‌کدام از اینها ازبین نمى‏روند. این‌همه بزرگان گفته‏اند که مراقبه کنید، چیزِ بد به نظرتان نیاورید، نسبت به افراد سوءظن نیاورید، براى مسائل در ذهنتان گناه نیاورید، مسائل خلاف نیاورید و مواظب باشید در صورت‌بندى در آن احادیث قدسى </w:t>
      </w:r>
      <w:r>
        <w:rPr>
          <w:rStyle w:val="Arabi"/>
          <w:rtl w:val="0"/>
          <w:lang w:val="fa-IR"/>
        </w:rPr>
        <w:t xml:space="preserve">یا عیسی یا عیسی</w:t>
      </w:r>
      <w:r>
        <w:rPr>
          <w:rStyle w:val="FootnoteReference"/>
        </w:rPr>
        <w:footnoteReference w:id="11"/>
      </w:r>
      <w:r>
        <w:rPr>
          <w:rtl w:val="0"/>
          <w:lang w:val="fa-IR"/>
        </w:rPr>
        <w:t xml:space="preserve"> نسبت به این مسائل خیلى مطالب و تأکیداتی شده اینها براى این است که اصلاً حقیقت انسان را مثال تشکیل می‌دهد. اگر بخواهیم نگاه کنیم یک در میلیارد آن این بدن است یک در میلیارد! بقیه‏اش همه مثال و ملکوت و عوالم دیگر است که مسئله به آنها برمى‏گردد. تتمۀ آن إن‌شاءالله برای جلسۀ بعد بماند.</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این دو بیت منسوب به فردوسی است که در شاهنامه، نامۀ رستم فرّخ‌زاد به سعد بن أبی‌وقّاص، آمده است. (محقّق)</w:t>
      </w:r>
    </w:p>
  </w:footnote>
  <w:footnote w:id="2">
    <w:p>
      <w:pPr>
        <w:pStyle w:val="FootnoteText"/>
      </w:pPr>
      <w:r>
        <w:rPr>
          <w:rStyle w:val="FootnoteReference"/>
        </w:rPr>
        <w:footnoteRef/>
      </w:r>
      <w:r>
        <w:t xml:space="preserve"> </w:t>
      </w:r>
      <w:r>
        <w:rPr>
          <w:rtl w:val="0"/>
          <w:lang w:val="fa-IR"/>
        </w:rPr>
        <w:t xml:space="preserve">. این دو بیت منسوب به فردوسی است که در شاهنامه، نامۀ رستم فرّخ‌زاد به سعد بن أبی‌وقّاص، آمده است.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حسن زاده آملي، ج 2، ص 59.</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54.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٢، ص ٦١. </w:t>
      </w:r>
      <w:r>
        <w:rPr>
          <w:rtl w:val="0"/>
          <w:lang w:val="fa-IR"/>
        </w:rPr>
        <w:t xml:space="preserve">سیری در تاریخ پیامبر اکرم </w:t>
      </w:r>
      <w:r>
        <w:rPr>
          <w:rtl w:val="0"/>
          <w:lang w:val="fa-IR"/>
        </w:rPr>
        <w:t xml:space="preserve">صلّی اللَه و علیه و آله و سلّم، ج 2، ص 64.</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414.</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دیوان ابن‌فارض</w:t>
      </w:r>
      <w:r>
        <w:rPr>
          <w:rtl w:val="0"/>
          <w:lang w:val="fa-IR"/>
        </w:rPr>
        <w:t xml:space="preserve">، ص ١٨٢:</w:t>
      </w:r>
    </w:p>
    <w:p>
      <w:pPr>
        <w:pStyle w:val="FootnoteText"/>
      </w:pPr>
      <w:r>
        <w:rPr>
          <w:rStyle w:val="Arabi"/>
          <w:rtl w:val="0"/>
          <w:lang w:val="fa-IR"/>
        </w:rPr>
        <w:t xml:space="preserve">یَقولونَ لی: صِفها فأنت بِوَصفِها   ***   خبیرٌ، أجَل! عِندی بأوصافِها علمُ</w:t>
      </w:r>
    </w:p>
    <w:p>
      <w:pPr>
        <w:pStyle w:val="FootnoteText"/>
      </w:pPr>
    </w:p>
  </w:footnote>
  <w:footnote w:id="9">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414.</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عشر قصائد و أشعار ابن سينا</w:t>
      </w:r>
      <w:r>
        <w:rPr>
          <w:rtl w:val="0"/>
          <w:lang w:val="fa-IR"/>
        </w:rPr>
        <w:t xml:space="preserve">، ج 1، ص 1.</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٨، ص ١٤١؛ </w:t>
      </w:r>
      <w:r>
        <w:rPr>
          <w:rtl w:val="0"/>
          <w:lang w:val="fa-IR"/>
        </w:rPr>
        <w:t xml:space="preserve">مبانی اخلاق در آیات و روایات</w:t>
      </w:r>
      <w:r>
        <w:rPr>
          <w:rtl w:val="0"/>
          <w:lang w:val="fa-IR"/>
        </w:rPr>
        <w:t xml:space="preserve">، ج ۲، ص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