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پانصد و هفتاد و هفتم</w:t>
      </w:r>
    </w:p>
    <w:p>
      <w:pPr>
        <w:pStyle w:val="Heading5"/>
      </w:pPr>
      <w:r>
        <w:rPr>
          <w:rtl w:val="0"/>
          <w:lang w:val="fa-IR"/>
        </w:rPr>
        <w:t xml:space="preserve">جمع‌بندی میان دیدگاه رواقیون و مشائیون در مسئلۀ تشکیک و وحدت کیفیات (1)</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أما المقامُ الثانی.</w:t>
      </w:r>
    </w:p>
    <w:p>
      <w:pPr>
        <w:pStyle w:val="NaghlegholMatn"/>
      </w:pPr>
      <w:r>
        <w:rPr>
          <w:rStyle w:val="Arabi"/>
          <w:rtl w:val="0"/>
          <w:lang w:val="fa-IR"/>
        </w:rPr>
        <w:t xml:space="preserve">فالحقُّ فیه ما ذهبَ إلیه الرواقیّون مِنَ الأقدَمین و غیرِهم لِما ذکرناه أیضاً فی حقیقةِ الوجود.</w:t>
      </w:r>
      <w:r>
        <w:rPr>
          <w:rStyle w:val="FootnoteReference"/>
        </w:rPr>
        <w:footnoteReference w:id="1"/>
      </w:r>
    </w:p>
    <w:p>
      <w:pPr>
        <w:pStyle w:val="Heading6"/>
      </w:pPr>
      <w:r>
        <w:rPr>
          <w:rtl w:val="0"/>
          <w:lang w:val="fa-IR"/>
        </w:rPr>
        <w:t xml:space="preserve">وحدت حقیقت وجود، و کثرت مصادیق خارجی</w:t>
      </w:r>
    </w:p>
    <w:p>
      <w:pPr/>
      <w:r>
        <w:rPr>
          <w:rtl w:val="0"/>
          <w:lang w:val="fa-IR"/>
        </w:rPr>
        <w:t xml:space="preserve">در بحث گذشته که مقام اول بود عرض شد که مرحوم آخوند از یک طرف کلام مشائین را از این نظر مى‏پذیرند که در طبع مسئله این هست که افراد در حقیقت وجود داراى ذوات مختلف نیستند و اطلاق حقیقت وجود نسبت به همۀ افرادش، اطلاق واحد است گرچه افراد در خارج متفاوت هستند ولکن این اطلاق نسبت به همه به یک نحو است و اختلافى که مشاهده مى‏شود به خود آن فرد و ذات برمی‌گردد. بنابراین از اینجا به‌دست مى‏آید که وجود به‌حسب ذات خودش ـ ما کارى به موجودات نداریم، موجودات خارجى داراى انواع مختلفه هستند ـ و خود حقیقت وجود بر افراد و ذاتیاتش به یک نسق است و اختلافى که در افراد خارجى هست به ماهیات آنها برمى‏گردد، نه به ذات آنها و حقیقة الوجود که تشخص آنهاست.</w:t>
      </w:r>
    </w:p>
    <w:p>
      <w:pPr/>
      <w:r>
        <w:rPr>
          <w:rtl w:val="0"/>
          <w:lang w:val="fa-IR"/>
        </w:rPr>
        <w:t xml:space="preserve">البته بعضى از مقررّین مطلب مرحوم آخوند را تأیید براى رواقیون گرفته‏اند مثل مقام ثانى که ایشان نسبت به این مسئله تصریح دارند ولى همان‌طوری‌که در جلسۀ قبل عرض شد، در واقع مرحوم آخوند جمع بین دو فرقه را در اینجا کرده‌اند. از یک طرف جانب رواقیون را گرفته‏اند که آنها قائل هستند بر اینکه مسئلۀ تشکیک در ماهیت موجب تنوع انواع نمى‏شود بلکه یک حقیقت واحده و حرکت در یک کیف یا این تحقق کم‌های متفاوت عبارت از یک تحقق مصداقى براى کیف است مثل سواد، حرارت، حلاوت، مذوقات، مسموعات و مقادیر که در تمام این موارد، یک حرکت در کیف هست که این حرکت، حرکت اشتدادى و حرکت ضعفى خواهد بود و حقیقت اینها مختلف نخواهد شد. وقتی که شما حرارتی را از یک درجۀ بالاى صفر به این حرارت اشتدادى شروع مى‏شود، آن شئ کم‌کم [دمای آن بالا می‌رود]، فرض کنید که شما المنتی را روشن کنید، ابتدا که این المنت به برق زده مى‏شود این فلز در دماى صفر قرار گرفته است بعد شروع مى‏کند به گرم شدن، یک درجه، دو درجه، سریع ده درجه، بیست درجه تا در عرض چند ثانیه ممکن است به صد درجه و دویست درجه و سیصد درجه هم همین‌طورى برسد لذا این حرکت اشتدادى که از صفر شروع مى‏شود و بالا مى‏رود، موجب اختلاف انواع حرارت نمى‏شود. حرارت حرارت است و در این اختلافى نیست. بله آن فرد خارجى حرارت در هر مرتبه با آن فرد دیگر حرارت در دو ثانیۀ قبل تفاوت مى‏کند. دو ثانیۀ قبل که دستتان را بگذارید نمى‏سوزید گرچه داغ مى‏شود ولى این را دو ثانیۀ بعد بگذارید دست مى‏سوزد.</w:t>
      </w:r>
    </w:p>
    <w:p>
      <w:pPr/>
      <w:r>
        <w:rPr>
          <w:rtl w:val="0"/>
          <w:lang w:val="fa-IR"/>
        </w:rPr>
        <w:t xml:space="preserve">پس این اختلافى که الآن بین مرتبۀ بعد با مرتبۀ قبل هست، اختلاف فردی است که به‌واسطۀ عوارض خارجى پیش آمده است یعنى اضافه شدن یک مرتبۀ از حرارت به مرتبۀ دیگر از حرارت، نه‌اینکه در خود مفهوم حرارت در اینجا تفاوتی وجود داشته باشد و شدت و ضعف در خود مفهوم و حراریتّش ـ که جنبۀ مصدری دارد ـ وجود داشته باشد و این حراریتش از حرارت اقویٰ باشد! حرارت عبارت از دماء بعد از صفر است و برودت دماء قبل از صفر است البته وقتى که نسبت به شیء دیگر مقایسه مى‏شود ما همین لفظ را هم مى‏بینیم.</w:t>
      </w:r>
    </w:p>
    <w:p>
      <w:pPr/>
      <w:r>
        <w:rPr>
          <w:rtl w:val="0"/>
          <w:lang w:val="fa-IR"/>
        </w:rPr>
        <w:t xml:space="preserve">فرض کنید این کتابى که الآن هست، اگر حرارت دست من سى درجه باشد، این احساس سردى که در این کتاب نسبت به انگشتان من پیدا مى‏شود، حکایت از این مى‏کند که مثلاً حرارت جلدش بیست درجه است. گرچه از نظر اصطلاحی و عرفى اطلاق نمى‏شود ولى از نظر حقیقت لغویه خودش به این برودت گفته نمى‏شود چون برودت به معناى تحت صفر است و حرارت به معناى فوق صفر است و این حرکتى که الآن در اینجا به‌وجود آمده است و همین‌طور بالا رفته است، در همۀ اینها فوق صفر بودن صدق مى‏کند. «فوق صفر» فوق صفر است دیگر، چه در درجۀ یک باشد چه درجۀ صد باشد، در هردو </w:t>
      </w:r>
      <w:r>
        <w:rPr>
          <w:rStyle w:val="Arabi"/>
          <w:rtl w:val="0"/>
          <w:lang w:val="fa-IR"/>
        </w:rPr>
        <w:t xml:space="preserve">کیفٌ له خاصیةٌ و هو فوقَ الصفر</w:t>
      </w:r>
      <w:r>
        <w:rPr>
          <w:rtl w:val="0"/>
          <w:lang w:val="fa-IR"/>
        </w:rPr>
        <w:t xml:space="preserve">. این مفهوم بدون کم و زیاد بودن در اینجا نسبت به او صدق مى‏کند. فوقیت که ما نداریم، بالاتر بودن که نداریم. فوق یعنى آن که از این مرحله تجاوز کند. در «تجاوز کردن از این مرتبه» که بیشتر و کمتر نداریم. وقتی که شما از این خط عبور مى‏کنید از این خط تجاوز کرده‌اید، چه یک قدم جلو بروید، چه صد کیلومتر جلو بروید بالأخره از خط تجاوز کرده‌اید. لذا این مطلب معنا ندارد چون «بیشتر و کمتر تجاوزکردن» نداریم. بله، آن فردى که در خارج تحقق پیدا مى‏کند، خود آن «فرد از تجاوز شده» داراى خصوصیات مختص به خودش است. این شخص مى‏گوید که من ده متر تجاوز کرده‌ام، آن شخص مى‏گوید که من صد متر تجاوز کرده‌ام و او مى‏گوید که صد کیلومتر تجاوز کرده‌ام. ما از این خط و خود آن مسئله عبور کرده‌ایم اما در اصل تجاوز فرق نمى‏کند.</w:t>
      </w:r>
    </w:p>
    <w:p>
      <w:pPr/>
      <w:r>
        <w:rPr>
          <w:rtl w:val="0"/>
          <w:lang w:val="fa-IR"/>
        </w:rPr>
        <w:t xml:space="preserve">مثلاً شما چاقویى دست بگیرید و بعد با نوک این چاقو داخل چشم یکى فرو کنید. حالا این با نوک چاقو که شما در چشم یکى فرو مى‏کنید این چشم را کور مى‏کند لازم نیست که تا ته دسته داخل چشمش کنید تا از آن‌طرف مغزش هم دربیاید! نه! اگر مقصود کور کردن است، سرش هم کفایت مى‏کند. مى‏گوییم که آقا! این چاقو با این سرش کور کرد! اگر بخواهی همین‌طورى آن را در شکم بزنید و از کمرش بیرون بیاید! این‌هم وقتى که شما مى‏گویید که من از این خط عبور کردم، دیگر این عبور کردن زیاد و کم ندارد. صد کیلومتر باشد شما عبور کردید و این به عبور کردن کار ندارد. عبور کردن تجاوز از یک نقطه و یک خط تجاوز کردن است. این را معناى عبور کردن مى‌گویند و لذا ایشان مى‏فرمایند که روى این جهت رواقیین و شیخ اشراق که قائل به اشتداد هستند، مسئلۀ اینها مسئلۀ وجود است که چطور در مسئلۀ وجود، افراد خارجى وجود موجب اختلاف حقیقت نوعیۀ وجود نیستند. خودشان باهم اختلاف دارند! یکى حیوان است، یکى حجر است. بین حجر و حیوان اختلاف است، اختلاف از زمین تا آسمان است، یکی ماده است و یکی مجرد است. ماده کجا و مجرد کجا! ولکن در اطلاق وجود حرف هست. در اینکه در حقیقت وجود اینها داخل در مسئلۀ وجود بشوند و اطلاق حقیقت وجود به‌عنوان یک طبیعت ـ منظور از طبیعت ماهیت نیست، به‌عنوان یک حقیقت، طبیعت در اینجا به معناى حقیقت است ـ مرسله بر همۀ این افراد، چه ماده و چه مجرد آیا کم‌وزیاد دارد یااینکه کم‌وزیاد ندارد؟ گرچه خود اینها در خارج نسبت به همدیگر اختلاف دارند ولى خود این وجود نسبت به اینها اختلاف ندارد.</w:t>
      </w:r>
    </w:p>
    <w:p>
      <w:pPr>
        <w:pStyle w:val="Heading6"/>
      </w:pPr>
      <w:r>
        <w:rPr>
          <w:rtl w:val="0"/>
          <w:lang w:val="fa-IR"/>
        </w:rPr>
        <w:t xml:space="preserve">تمثیلی برای فهم وحدت وجود و کثرت مراتب</w:t>
      </w:r>
    </w:p>
    <w:p>
      <w:pPr/>
      <w:r>
        <w:rPr>
          <w:rtl w:val="0"/>
          <w:lang w:val="fa-IR"/>
        </w:rPr>
        <w:t xml:space="preserve">مثل اینکه پدرى که چند فرزند دارد هرکدام از اینها داراى خصوصیاتى هستند، یکى از اینها بقّال مى‏شود، یکى از اینها دانشکده مى‏رود و مهندس مى‏شود و یکى در حوزه مى‏آید و مجتهد مى‏شود. هرکدام از اینها ارتباطى با دیگرى ندارد، آن کسی که مجتهد است کجا و آن دوتای دیگر کجا؟! اصلاً چه ارتباطی با همدیگر دارند؟! از نقطه‌نظر ارزش و مقدار تفاوت ندارند! این تفاوتى که اینها با همدیگر دارند و تفاوتشان </w:t>
      </w:r>
      <w:r>
        <w:rPr>
          <w:rStyle w:val="Arabi"/>
          <w:rtl w:val="0"/>
          <w:lang w:val="fa-IR"/>
        </w:rPr>
        <w:t xml:space="preserve">بینَ‌ الأرض و السماء</w:t>
      </w:r>
      <w:r>
        <w:rPr>
          <w:rtl w:val="0"/>
          <w:lang w:val="fa-IR"/>
        </w:rPr>
        <w:t xml:space="preserve"> هست، موجب تفاوت صدق ابوّت بر اینها نمى‌شود. پدر بر همۀ اینها به یک نسق صادق است، هم پدر این است به همان اندازه پدر دومى است و به همان اندازه پدر سومى است، در پدر بودن فرقى نیست. حالا خودشان با همدیگر خیلى مراتب دارند خودشان می‌دانند، خودشان با همدیگر اختلاف دارند به‌واسطۀ عروض عوارض و اطلاعات و معلومات و سایر خصوصیات مستحسنه یا خصوصیات قبیحه هرکدام از اینها داراى صفات خاص خودشان هستند و این به ابوّت کار ندارد.</w:t>
      </w:r>
    </w:p>
    <w:p>
      <w:pPr/>
      <w:r>
        <w:rPr>
          <w:rtl w:val="0"/>
          <w:lang w:val="fa-IR"/>
        </w:rPr>
        <w:t xml:space="preserve">امام هادى علیه‌السّلام که فرزندان متعددى داشت، آنها مختلف بودند یک فرزند امام هادى، امام حسن عسکرى علیه‌السّلام مى‏شود و یک فرزند امام هادى حضرت سید محمد مى‏شود و یک فرزند امام هادى جعفر کذاب با آن کیفیت مى‏شود. از نظر انتساب و أبوّت به امام هادى همه یکسان هستند یعنى حضرت امام حسن عسکرى علیه‌السّلام به همان مقدار منتسب به امام هادى است که به همان مقدار جعفر کذاب منتسب است و تفاوتى از این نقطه‌نظر ندارد. حالا این کجا و آن کجا؟!</w:t>
      </w:r>
    </w:p>
    <w:p>
      <w:pPr/>
      <w:r>
        <w:rPr>
          <w:rtl w:val="0"/>
          <w:lang w:val="fa-IR"/>
        </w:rPr>
        <w:t xml:space="preserve">بنابراین در مسئلۀ وجود، حقیقت وجود نسبت به همۀ افراد به یک نسق صادق است و اختلافى از این نقطه‌نظر ندارد. بله! خود آن فرد خارجى وجود، داراى مراتب مختلفى از نقطه‌نظر هویت خودش و ماهیت خودش است یعنى هم هویت هم ماهیت، هردوى اینها یک تشکل خاصى را براى این به‌وجود آورده‌اند.</w:t>
      </w:r>
    </w:p>
    <w:p>
      <w:pPr/>
      <w:r>
        <w:rPr>
          <w:rtl w:val="0"/>
          <w:lang w:val="fa-IR"/>
        </w:rPr>
        <w:t xml:space="preserve">لذا در این مسئله، مرحوم آخوند از یک نقطه‌نظر جانب رواقیین را دارد که این قضیه مثل قضیۀ وجود است و وجود چنانچه باعث اختلاف نوعى در افراد ذاتى خودش نمى‏شود همین‌طور در مراتب تشکیک در کم و در کیف، در حرارت، در بیاض، در مقدار، در این موارد مختلف، مراتب اشتداد و ضعف، طولانی‌تر بودن و ناقص‌تر بودن، اولویت داشتن و اقدمیت، اتمّیت داشتن و انقصیت، اینها موجب اختلاف در افراد نمى‏شود. این حقیقت یکی است.</w:t>
      </w:r>
    </w:p>
    <w:p>
      <w:pPr/>
      <w:r>
        <w:rPr>
          <w:rtl w:val="0"/>
          <w:lang w:val="fa-IR"/>
        </w:rPr>
        <w:t xml:space="preserve">از طرف دیگر مرحوم آخوند جانب اشراقیین را گرفته است که گفته‌اند که یک حقیقت واحده نمى‏شود، صدق این عدم اشتداد شدت برنمى‏دارد منظور آنها به خود نفس ذات ماهیت است که خود ذات ماهیت </w:t>
      </w:r>
      <w:r>
        <w:rPr>
          <w:rStyle w:val="Arabi"/>
          <w:rtl w:val="0"/>
          <w:lang w:val="fa-IR"/>
        </w:rPr>
        <w:t xml:space="preserve">مِن حیث هى‌ هی</w:t>
      </w:r>
      <w:r>
        <w:rPr>
          <w:rtl w:val="0"/>
          <w:lang w:val="fa-IR"/>
        </w:rPr>
        <w:t xml:space="preserve">، صدقش نسبت به همۀ افراد تفاوتى ندارد و لذا اشکال صاحب </w:t>
      </w:r>
      <w:r>
        <w:rPr>
          <w:rtl w:val="0"/>
          <w:lang w:val="fa-IR"/>
        </w:rPr>
        <w:t xml:space="preserve">مطارحات</w:t>
      </w:r>
      <w:r>
        <w:rPr>
          <w:rtl w:val="0"/>
          <w:lang w:val="fa-IR"/>
        </w:rPr>
        <w:t xml:space="preserve"> بر آنها وارد نیست ولکن در افراد خارجی این‌طور نیست و در آنجا ما مى‏بینیم که این مرتبه، مرتبۀ اشتدادیت و ضعفیت وجود دارد مثل اسودیت و امثال‌ذلک که خود مشتق در صدق نسبت به چیز اختلاف پیدا مى‏کند. سیاهى اختلاف ندارد، سیاه اختلاف دارد. سیاهى یک مفهومی است که نسبت به همۀ افرادش علی‌السواء است ولکن سیاه اختلاف دارد که این عبارت اسود عبارت از همان فرد خارجى است که آن اختلافش را از مبدأ اشتقاق مى‏گیرد. این مقام اول تمام شد و در اینجا تمایل مرحوم آخوند به رواقیون در اینجا به‌نظر مى‏رسد.</w:t>
      </w:r>
    </w:p>
    <w:p>
      <w:pPr>
        <w:pStyle w:val="Heading6"/>
      </w:pPr>
      <w:r>
        <w:rPr>
          <w:rtl w:val="0"/>
          <w:lang w:val="fa-IR"/>
        </w:rPr>
        <w:t xml:space="preserve">کلام رواقیون در عدم وجود اختلاف انواع در مراتب وجود</w:t>
      </w:r>
    </w:p>
    <w:p>
      <w:pPr/>
      <w:r>
        <w:rPr>
          <w:rtl w:val="0"/>
          <w:lang w:val="fa-IR"/>
        </w:rPr>
        <w:t xml:space="preserve">در مقام دوم مرحوم آخوند صریحاً جانب رواقیون را گرفته‏اند و مسئله در این است که آیا در موارد اشتداد ـ در مقدار یا کیف ـ مثل اشتداد در سواد، سیاهى، حرارت، برودت، رنگ و امثال‌ذلک؛ آیا موجب اختلاف انواع خواهد شد یا نه؟ یعنى نوع مختلف به‌وجود مى‏آورد یا نه؟ وقتی که یک سیاهی کم را نگاه کنید و یک سیاهى بسیار تند را مشاهده کنید آیا دو نوع مختلف است یا یک نوع است؟ همان‌طوری‌که ما در یک نوع افراد مختلف را مى‏بینیم از یک نوع انسان افراد مختلف را مى‏بینیم، یکى قدش چهارمتر است، دیگری چند متر است. مى‏گویند که بعضی‌ها هستند که سرشان اینجاست و پایشان ... .</w:t>
      </w:r>
    </w:p>
    <w:p>
      <w:pPr/>
      <w:r>
        <w:rPr>
          <w:rtl w:val="0"/>
          <w:lang w:val="fa-IR"/>
        </w:rPr>
        <w:t xml:space="preserve">ما طرف قبرى در لبنان رفتیم گفتند که دوازده متر است! رفتیم بالای یک قبر دوازده‌متری! تازه بعد گفتند که این دوازده متر نیست، این 36 متر است! گفتم که نه اشتباه مى‏فرمایید! این سرش اینجاست و پایش در دمشق هست! اصل مسئله این است! منتها حالا در کتاب‏ها که گذشته است دائماً کم شده و به دوازده متر رسیده است! قشنگ این با دستش مى‌تواند ابرها را هم بگیرد، حالا اینها مى‏گویند که دوازده متر است! البته خالی از مزاح من عکسى را در یک‌جا دیدم و عکس صحیحى هم هست از یک مستند که در کنار عربستان شرکت‏هایى حفاری مى‏کردند یک‌دفعه با اسکلتى برخورد مى‏کنند و عکس انداخته بودند. کنار سر آن اسکلت یک نفر با بیل ایستاده است و سر چند برابر هیکل آن شخص است! التفات فرمودید یا نه؟ چند برابر است!</w:t>
      </w:r>
    </w:p>
    <w:p>
      <w:pPr/>
      <w:r>
        <w:rPr>
          <w:rtl w:val="0"/>
          <w:lang w:val="fa-IR"/>
        </w:rPr>
        <w:t xml:space="preserve">یعنى اگر مى‏خواستند در آن سر جمجمه قرار دهند، شاید سه یا چهار برابر مى‏شد یا شاید بیشتر! پنج برابر را که شده بود و یک نفر ایستاده بود و دنده‌هایش را نشان مى‏داد، یکى مثلاً اینجا و بعد با دوربین نگاه کنید تا کف پایش را ببینید. گفتند که این برای قضیۀ ثمود بوده است که </w:t>
      </w:r>
      <w:r>
        <w:rPr>
          <w:rtl w:val="0"/>
          <w:lang w:val="fa-IR"/>
        </w:rPr>
        <w:t xml:space="preserve">﴿إِرَمَ ذَاتِ ٱلۡعِمَادِ﴾</w:t>
      </w:r>
      <w:r>
        <w:rPr>
          <w:rtl w:val="0"/>
          <w:lang w:val="fa-IR"/>
        </w:rPr>
        <w:t xml:space="preserve">.</w:t>
      </w:r>
      <w:r>
        <w:rPr>
          <w:rStyle w:val="FootnoteReference"/>
        </w:rPr>
        <w:footnoteReference w:id="2"/>
      </w:r>
      <w:r>
        <w:rPr>
          <w:rtl w:val="0"/>
          <w:lang w:val="fa-IR"/>
        </w:rPr>
        <w:t xml:space="preserve"> گفتند که اینجا همان مدینه و بلد آنها بوده است که </w:t>
      </w:r>
      <w:r>
        <w:rPr>
          <w:rtl w:val="0"/>
          <w:lang w:val="fa-IR"/>
        </w:rPr>
        <w:t xml:space="preserve">﴿ٱلَّتِي لَمۡ يُخۡلَقۡ مِثۡلُهَا فِي ٱلۡبِلَٰدِ * وَثَمُودَ ٱلَّذِينَ جَابُواْ ٱلصَّخۡرَ بِٱلۡوَادِ * وَفِرۡعَوۡنَ ذِي ٱلۡأَوۡتَادِ﴾</w:t>
      </w:r>
      <w:r>
        <w:rPr>
          <w:rStyle w:val="FootnoteReference"/>
        </w:rPr>
        <w:footnoteReference w:id="3"/>
      </w:r>
      <w:r>
        <w:rPr>
          <w:rtl w:val="0"/>
          <w:lang w:val="fa-IR"/>
        </w:rPr>
        <w:t xml:space="preserve"> در آیات قرآن وقتى که عذاب مى‏آید ما بر آنها شن پاشیدیم و مى‏گویند که این شهر الآن در زیر شن دفن است که جلوگیرى کرده‏اند. ولى خود آن عکس را پخش کرده‏اند و آن افراد در وزارت عربستان هم این قضیه را تأیید کرده‌اند که این مسئله مربوط به آن موقع بوده است و اصلاً چیز عجیبى بود! یعنى جداً سرش [چنان بزرگ بود که] طرف با بیل ایستاده بود هنوز به سرش نرسیده بود! یعنى سرش که در اینجا بود هم ارتفاعش از قد او بیشتر بود و حجمش هم که چه عرض کنم! نمى‏دانم چند نفر در آن جا مى‏شدند که فقط اسکلتش بود و اسکلتش سالم بود یعنى حتى آن استخوان‌های پایش پیدا بود، نمى‏دانم این را الآن کجا گذاشته‏ام ولى آن کاغذ را که برایم چاپ کرده بودند، هست، حالا با این کیفیت بعید نیست این دوازده‌مترى که در لبنان مى‏گویند، باشد. اینها دیگر نیاز به مأذنه براى اذان نداشتند! همین‌طورى مى‏ایستادند خودش مأذنه بود. اینها که این‌طور بودند خرهایشان چقدر بودند؟ اسب و خر و امثال‌ذلک هم متناسب بود دیگر ولى نداریم که خرهایشان بزرگ بودند! خودشان بزرگ بودند حالا دیگر على‌کلّ‌حال ...</w:t>
      </w:r>
    </w:p>
    <w:p>
      <w:pPr>
        <w:pStyle w:val="SoalMatn"/>
      </w:pPr>
      <w:r>
        <w:rPr>
          <w:rtl w:val="0"/>
          <w:lang w:val="fa-IR"/>
        </w:rPr>
        <w:t xml:space="preserve">تلمیذ:</w:t>
      </w:r>
      <w:r>
        <w:rPr>
          <w:rtl w:val="0"/>
          <w:lang w:val="fa-IR"/>
        </w:rPr>
        <w:t xml:space="preserve"> آنها خودشان از خرهایشان تندتر مى‏رفتند!</w:t>
      </w:r>
    </w:p>
    <w:p>
      <w:pPr/>
      <w:r>
        <w:rPr>
          <w:rtl w:val="0"/>
          <w:lang w:val="fa-IR"/>
        </w:rPr>
        <w:t xml:space="preserve">استاد:</w:t>
      </w:r>
      <w:r>
        <w:rPr>
          <w:rtl w:val="0"/>
          <w:lang w:val="fa-IR"/>
        </w:rPr>
        <w:t xml:space="preserve"> بله دیگر! یک پا برمى‏دارند و آنجا مى‏گذارند. دیگر همه جور هستند. الآن هم مى‏گویند که چنین اقوامى [با این قد] دیده شدند، افراد طویل از این نظر هستند.</w:t>
      </w:r>
    </w:p>
    <w:p>
      <w:pPr/>
      <w:r>
        <w:rPr>
          <w:rtl w:val="0"/>
          <w:lang w:val="fa-IR"/>
        </w:rPr>
        <w:t xml:space="preserve">صحبت مرحوم آخوند این است که در مقام دوم که آیا اختلاف نوعى پیش مى‏آید یا نه، این اختلاف نوعى آیا جانب مشائین در اینجا ترجیح دارد یا جانب رواقیین؟ مشائین چون قائل به عدم اشتداد هستند بنابراین هر مرتبه‏اى از اختلاف را باید یک نوع بگویند. دیگر این مرتبۀ از اختلاف را نمى‏توانند چون قائل به عدم اشتداد هستند، می‌گویند که اشتداد در ماهیت معنا ندارد وقتی ‌که اشتداد معنا نداشت الآن این رنگ که از نظر ظهور خارجى با لون دیگر اختلاف دارد نفس اختلاف حکایت از یک ما‌به‌الاِشتراک و یک فصل مى‏کند. آن فصل موجب تعدد انواع خواهد شد. هر چیزى که داراى جنس و فصل است، آن فصل موجب تعدد خواهد شد. اما بنا بر مکتب رواقیین که اشتداد در مقوله وجود دارد بنابراین دیگر انواع هم متولد نخواهند شد. اختلاف در لون موجب اختلاف در افراد خارجى و مصادیق خارجى مى‏شود ولى موجب اختلاف در صدق خود این ماهیت، صدق خود این بیاضیت، صدق خود این سوادیت، صدق خود این حمره در آن افراد خارجی نخواهد شد. صدق صدق واحد است ولی افراد تفاوت مى‏کنند شدت و ضعف دارند؛ از فرد ضعیف تا فرد قوی داراى اختلاف بدون تعدد انواع هستند.</w:t>
      </w:r>
    </w:p>
    <w:p>
      <w:pPr/>
      <w:r>
        <w:rPr>
          <w:rtl w:val="0"/>
          <w:lang w:val="fa-IR"/>
        </w:rPr>
        <w:t xml:space="preserve">این کلام، کلام رواقیین است که در اینجا آنها براساس مطلب قبل و براساس مقام اول ملزم به عدم وجود اختلاف انواع در این مراتب هستند.</w:t>
      </w:r>
    </w:p>
    <w:p>
      <w:pPr>
        <w:pStyle w:val="Heading6"/>
      </w:pPr>
      <w:r>
        <w:rPr>
          <w:rtl w:val="0"/>
          <w:lang w:val="fa-IR"/>
        </w:rPr>
        <w:t xml:space="preserve">بیان دو مطلب توسط مرحوم آخوند در تأیید کلام رواقیین</w:t>
      </w:r>
    </w:p>
    <w:p>
      <w:pPr/>
      <w:r>
        <w:rPr>
          <w:rtl w:val="0"/>
          <w:lang w:val="fa-IR"/>
        </w:rPr>
        <w:t xml:space="preserve">مرحوم آخوند براى کلام رواقیین و تأیید رواقیین دو مطلب را ذکر مى‏کنند؛ مطلب اول اینکه ایشان مى‏گویند که ما در مسئلۀ وجود گفتیم که وجود نسبت به همۀ افراد یکسان است گرچه افراد خارجى وجود باهم مختلف هستند ولى صدق وجود بر همۀ آنها یکسان است. حالا یکى فرض کنید که طویل است و یکى قصیر است، [این] باعث اختلاف صدق وجود بر آنها نمى‏شود. یکى ماده است و یکى مجرد است، [این] باعث اختلاف ماهیت وجود بر آنها نمى‏شود. ماهیت و حقیقت وجود بر همۀ آنها یکسان است. لذا همان حرف را ما در اینجا خواهیم زد. بیاضیت یک حقیقت واحده است و اختلاف افراد خارجى بیاضیت موجب اختلاف در صدق بیاضیت نمى‏شود. آن تعریفى که ما از بیاض داریم آن تعریف بر همۀ اینها یکسان است و آن تعریفى که از مقدار داریم بر همه مقدار است که </w:t>
      </w:r>
      <w:r>
        <w:rPr>
          <w:rStyle w:val="Arabi"/>
          <w:rtl w:val="0"/>
          <w:lang w:val="fa-IR"/>
        </w:rPr>
        <w:t xml:space="preserve">الحدُّ بین النقطتین.</w:t>
      </w:r>
      <w:r>
        <w:rPr>
          <w:rtl w:val="0"/>
          <w:lang w:val="fa-IR"/>
        </w:rPr>
        <w:t xml:space="preserve"> این «</w:t>
      </w:r>
      <w:r>
        <w:rPr>
          <w:rStyle w:val="Arabi"/>
          <w:rtl w:val="0"/>
          <w:lang w:val="fa-IR"/>
        </w:rPr>
        <w:t xml:space="preserve">الحدُّ بین النقطتین</w:t>
      </w:r>
      <w:r>
        <w:rPr>
          <w:rtl w:val="0"/>
          <w:lang w:val="fa-IR"/>
        </w:rPr>
        <w:t xml:space="preserve">» یا «</w:t>
      </w:r>
      <w:r>
        <w:rPr>
          <w:rStyle w:val="Arabi"/>
          <w:rtl w:val="0"/>
          <w:lang w:val="fa-IR"/>
        </w:rPr>
        <w:t xml:space="preserve">المحدودُ بینَ النقطتین</w:t>
      </w:r>
      <w:r>
        <w:rPr>
          <w:rtl w:val="0"/>
          <w:lang w:val="fa-IR"/>
        </w:rPr>
        <w:t xml:space="preserve">» تعریفى است که براى مقدار است؛ </w:t>
      </w:r>
      <w:r>
        <w:rPr>
          <w:rStyle w:val="Arabi"/>
          <w:rtl w:val="0"/>
          <w:lang w:val="fa-IR"/>
        </w:rPr>
        <w:t xml:space="preserve">کمٌّ متصلٌ محدودٌ بینَ الحدّین، محدودٌ بینَ النقطتین</w:t>
      </w:r>
      <w:r>
        <w:rPr>
          <w:rtl w:val="0"/>
          <w:lang w:val="fa-IR"/>
        </w:rPr>
        <w:t xml:space="preserve">.</w:t>
      </w:r>
    </w:p>
    <w:p>
      <w:pPr/>
      <w:r>
        <w:rPr>
          <w:rtl w:val="0"/>
          <w:lang w:val="fa-IR"/>
        </w:rPr>
        <w:t xml:space="preserve">در تمام این موارد این تعریفى است که صادق است و خود آن افراد خارجى کم و زیاد پیدا مى‏کنند، کم و زیاد پیدا کردنش به خود تعریف ارتباط ندارد. مطلب دومى که مرحوم آخوند ذکر مى‏‌کنند مربوط به مسئلۀ حرکت است.</w:t>
      </w:r>
    </w:p>
    <w:p>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436.</w:t>
      </w:r>
    </w:p>
  </w:footnote>
  <w:footnote w:id="2">
    <w:p>
      <w:pPr>
        <w:pStyle w:val="FootnoteText"/>
      </w:pPr>
      <w:r>
        <w:rPr>
          <w:rStyle w:val="FootnoteReference"/>
        </w:rPr>
        <w:footnoteRef/>
      </w:r>
      <w:r>
        <w:t xml:space="preserve"> </w:t>
      </w:r>
      <w:r>
        <w:rPr>
          <w:rtl w:val="0"/>
          <w:lang w:val="fa-IR"/>
        </w:rPr>
        <w:t xml:space="preserve">. سوره فجر (89) آیه 6 ـ 10:</w:t>
      </w:r>
    </w:p>
    <w:p>
      <w:pPr>
        <w:pStyle w:val="FootnoteText"/>
      </w:pPr>
      <w:r>
        <w:rPr>
          <w:rtl w:val="0"/>
          <w:lang w:val="fa-IR"/>
        </w:rPr>
        <w:t xml:space="preserve">﴿أَلَمۡ تَرَ كَيۡفَ فَعَلَ رَبُّكَ بِعَادٍ * إِرَمَ ذَاتِ ٱلۡعِمَادِ * ٱلَّتِي لَمۡ يُخۡلَقۡ مِثۡلُهَا فِي ٱلۡبِلَٰدِ * وَثَمُودَ ٱلَّذِينَ جَابُواْ ٱلصَّخۡرَ بِٱلۡوَادِ * وَفِرۡعَوۡنَ ذِي ٱلۡأَوۡتَادِ﴾</w:t>
      </w:r>
      <w:r>
        <w:rPr>
          <w:rtl w:val="0"/>
          <w:lang w:val="fa-IR"/>
        </w:rPr>
        <w:t xml:space="preserve">. </w:t>
      </w:r>
      <w:r>
        <w:rPr>
          <w:rtl w:val="0"/>
          <w:lang w:val="fa-IR"/>
        </w:rPr>
        <w:t xml:space="preserve">معاد شناسى</w:t>
      </w:r>
      <w:r>
        <w:rPr>
          <w:rtl w:val="0"/>
          <w:lang w:val="fa-IR"/>
        </w:rPr>
        <w:t xml:space="preserve">، ج ‏8، ص 89:</w:t>
      </w:r>
    </w:p>
    <w:p>
      <w:pPr>
        <w:pStyle w:val="FootnoteText"/>
      </w:pPr>
      <w:r>
        <w:rPr>
          <w:rtl w:val="0"/>
          <w:lang w:val="fa-IR"/>
        </w:rPr>
        <w:t xml:space="preserve">«اى پيامبر! آيا نديدى که پروردگار تو با قوم عاد چه کرد؟! * و نيز با قوم ارَمْ و اهل شهر ارم که داراى قدرت و عظمت بودند چه کرد؟! * درصورتى‌که مانند شهر ارم در تمام شهرهاى جهان به آن استحکام و عظمت و نعمت و زيبائى نبود. و همچنين بر قوم ثمود که تخته‏هاى سنگ را از بيابان مى‏آوردند و با آن کاخها مى‏ساختند چه کرد؟ و نيز با فرعون که داراى قدرت و سپاه نيرومند بود چه کرد؟!»</w:t>
      </w:r>
    </w:p>
  </w:footnote>
  <w:footnote w:id="3">
    <w:p>
      <w:pPr>
        <w:pStyle w:val="FootnoteText"/>
      </w:pPr>
      <w:r>
        <w:rPr>
          <w:rStyle w:val="FootnoteReference"/>
        </w:rPr>
        <w:footnoteRef/>
      </w:r>
      <w:r>
        <w:t xml:space="preserve"> </w:t>
      </w:r>
      <w:r>
        <w:rPr>
          <w:rtl w:val="0"/>
          <w:lang w:val="fa-IR"/>
        </w:rPr>
        <w:t xml:space="preserve">. سوره فجر (89) آیه 8 ـ 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