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پانزدهم</w:t>
      </w:r>
    </w:p>
    <w:p>
      <w:pPr>
        <w:pStyle w:val="Heading5"/>
      </w:pPr>
      <w:r>
        <w:rPr>
          <w:rtl w:val="0"/>
          <w:lang w:val="fa-IR"/>
        </w:rPr>
        <w:t xml:space="preserve">کلام حکماء در مورد تشخّص (5)</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NaghlegholMatn"/>
      </w:pPr>
      <w:r>
        <w:rPr>
          <w:rStyle w:val="Arabi"/>
          <w:rtl w:val="0"/>
          <w:lang w:val="fa-IR"/>
        </w:rPr>
        <w:t xml:space="preserve">وَ أمّا ما قالَ بَعضُ أهلِ العِلمِ مِن أنَّ الشَخصَ نَفسُ تَصَوُّرِهِ یَمنَعُ الشِّرکَةَ وَ لَیسَ ذلِکَ بِسَبَبِ مُقَوِّماتِهِ فَإنَّ المُقَوِّماتِ لذاتِها لا تَمنَعُ الشِّرکَةَ.</w:t>
      </w:r>
      <w:r>
        <w:rPr>
          <w:rStyle w:val="FootnoteReference"/>
        </w:rPr>
        <w:footnoteReference w:id="2"/>
      </w:r>
    </w:p>
    <w:p>
      <w:pPr/>
      <w:r>
        <w:rPr>
          <w:rtl w:val="0"/>
          <w:lang w:val="fa-IR"/>
        </w:rPr>
        <w:t xml:space="preserve">ایشان در اینجا چند مطلب می‏فرمایند که هرکدام از اینها خواسته‌اند به یک نحوی مسئلۀ تشخّص و تمیّز را بیان کنند بعضی از این تعاریف این است که فرمودند که تشخّص عبارت از ماده‏ای است که آن ماده خودش محقق نوع در خارج است چون تا نوع مصداق خارجی نداشته باشد آن نوع صورت جزئیه پیدا نمی‏کند و به ‏همان صورت کلیۀ خودش در ذهن باقی هست ولی وقتی که مصداق خارجی پیدا کرد آن موقع این نوع وجود و ظهور خارجی دارد، مصداق خارجی آن‌هم به ماده است و این مادۀ خارج است که می‏آید و جنس را در خارج محقَّق می‏کند و او را از عالم ذهن به عالم اعیان اخراج می‏کند. پس ماده مشخِّص می‏شود.</w:t>
      </w:r>
    </w:p>
    <w:p>
      <w:pPr/>
      <w:r>
        <w:rPr>
          <w:rtl w:val="0"/>
          <w:lang w:val="fa-IR"/>
        </w:rPr>
        <w:t xml:space="preserve">این کلام این افراد است و دلیل آنها هم این است که ما وقتی که به هرکدام از خصوصیاتی که منضمّ به ماده از عوارض و آثار و لوازم می‌شود نگاه کنیم، می‏بینیم که اینها یک حقیقت کلی هستند که قابل سریان به مصادیق متعدده‌ هستند، اگر لازم باشد، خب این لازمی است که متفق با آن است و قابل سرایت برای بقیه است. اگر عوارض باشد، مثلاً انتساب به زمان برای همه می‏شود و انتساب به مکان برای همه می‏شود، این مقدار از طول و عرض، یک میلیارد هم ممکن است این طول و عرض را داشته باشند و همین‌طور راجع به آن مقوّمات ذاتیه که باعث می‏شود این ماده در خارج باشد همۀ اینها کلیاتی است که مصادیق مختلفة الصوره و متحدة الماهیه در تحت این مقوّمات می‏توانند قرار بگیرند. بنابراین آنچه که موجب می‌شود تشخّص به‌واسطۀ او حاصل بشود ماده است تمام اینها کنار می‏روند و فقط ماده می‏ماند.</w:t>
      </w:r>
    </w:p>
    <w:p>
      <w:pPr/>
      <w:r>
        <w:rPr>
          <w:rtl w:val="0"/>
          <w:lang w:val="fa-IR"/>
        </w:rPr>
        <w:t xml:space="preserve">پاسخ مرحوم آخوند نسبت به مسئله این است که در اینجا می‏توانیم تشخّصی را که ایشان علتش را ماده می‌دانند به تمیّز برگردانیم که تمیّز باعث افتراق بین این شی‏ء و سایر اشیاء می‏شود و بحث ما در تشخّص است.</w:t>
      </w:r>
    </w:p>
    <w:p>
      <w:pPr>
        <w:pStyle w:val="Heading6"/>
      </w:pPr>
      <w:r>
        <w:rPr>
          <w:rtl w:val="0"/>
          <w:lang w:val="fa-IR"/>
        </w:rPr>
        <w:t xml:space="preserve">تمیّز؛ یک مفهوم جدای از سایر مفاهیم</w:t>
      </w:r>
    </w:p>
    <w:p>
      <w:pPr/>
      <w:r>
        <w:rPr>
          <w:rtl w:val="0"/>
          <w:lang w:val="fa-IR"/>
        </w:rPr>
        <w:t xml:space="preserve">تمیّز؛ یعنی یک مفهومی است که از سایر مفاهیم جداست، یک عین خارجی که از سایر اعیان خارجی جداست و فرق می‏کند. بله! به‌واسطۀ خصوصیاتی که می‏بینیم، حکم به جدایی می‏کنیم. فرض کنید الآن ایشان در اینجا نشسته‌اند و کسی دیگر نمی‏تواند در جای ایشان بنشیند. این یک عارضی است که الآن در اینجا اختصاص به ایشان دارد، وضعی که الآن ایشان دارند با وضعی که سایر افراد دارند ممکن است تفاوت داشته باشد؛ شکل، خصوصیات، عوارض و اینها ممکن است تفاوت داشته باشد؛ من‌حیث‌المجموع از نظر زمان تمام این عوارض و وضع و انتساب به مکان تفاوتی ندارند البته از نظر مکان فرق می‏کند؛ آن انتسابی که این ذات و تعیّن به این مکان دارد دیگری ندارد یا لوازمی که برای یک شخص هست و آن لوازم را از بقیه امتیاز داده است، اینها چیزهایی است که امتیاز این ذات را از دیگران به ما نشان می‏دهد که یک فردی در اینجا هست ولی اینها باز تشخّص نیست، تشخّص چیز دیگر است.</w:t>
      </w:r>
    </w:p>
    <w:p>
      <w:pPr/>
      <w:r>
        <w:rPr>
          <w:rtl w:val="0"/>
          <w:lang w:val="fa-IR"/>
        </w:rPr>
        <w:t xml:space="preserve">تشخّص عبارت از همان حقیقت خارجی است چه اینکه امتیازی را بفهمیم یا نفهمیم، به امتیاز کار نداریم که اصلاً مِیزی بین او و دیگران هست یا نیست؛ حتی اصلاً فرض می‏کنیم که اصلاً اگر مِیزی بین او و دیگران نباشد باز تشخّصی در آنجا هست. آن خیال می‏کرد که بین لیلی و مجنون مِیزی وجود ندارد.</w:t>
      </w:r>
    </w:p>
    <w:p>
      <w:pPr>
        <w:pStyle w:val="She'rMatn"/>
      </w:pPr>
      <w:r>
        <w:rPr>
          <w:rtl w:val="0"/>
          <w:lang w:val="fa-IR"/>
        </w:rPr>
        <w:t xml:space="preserve">من کی‏ام؟ لیلی، و لیلی کیست؟ من *** ما یکی روحیم اندر دو بدن</w:t>
      </w:r>
      <w:r>
        <w:rPr>
          <w:rStyle w:val="FootnoteReference"/>
        </w:rPr>
        <w:footnoteReference w:id="3"/>
      </w:r>
    </w:p>
    <w:p>
      <w:pPr/>
      <w:r>
        <w:rPr>
          <w:rtl w:val="0"/>
          <w:lang w:val="fa-IR"/>
        </w:rPr>
        <w:t xml:space="preserve"> این کسی که دارد این حرف را می‏زند بین خودش و آن محبوب احساس اتحاد می‏کند و مِیز را برمی‏دارد تشخّص را دیگر برنمی‏دارد، این هفتاد کیلو است و دارد این‌طرف راه می‏رود، لیلی هم ـ نمی‏دانم چند کیلو بود چاق بود لاغر بود شصت و پنج کیلو بود یا هرچه بود! ـ برای خودش در قبیلۀ خود دارد زندگی می‏کند و راه می‌رود هردوی اینها تشخّص دارند، ولی هم او و هم این می‏گوید: بین ما مِیزی نیست. میز؛ یعنی تفاوتی نیست و یک وجود است که دو مصداق پیدا کرده است ولی نفی تشخّص نمی‏کنند، این تشخّص خودش را دارد و آن‌هم تشخّص خودش را دارد. آنچه را که می‏بینیم میز است. آنچه که واقعیت در خارج دارد تشخّص است. بله! تشخّص موجب میز خواهد شد نه‌اینکه میز موجب تشخّص است؛ باید یک عینی باشد تااینکه بین آن عین و سایر اعیان افتراق باشد وقتی که یک عین نباشد شما امتیاز را از کجا می‏خواهید بیاورید؟! اشتراک را از کجا می‏خواهید بیاورید؟! وحدت را از کجا می‏خواهید بیاورید؟! افتراق را از کجا می‏خواهید بیاورید؟! بنابراین این تشخّص، علتِ برای میز می‏شود.</w:t>
      </w:r>
    </w:p>
    <w:p>
      <w:pPr>
        <w:pStyle w:val="Heading6"/>
      </w:pPr>
      <w:r>
        <w:rPr>
          <w:rtl w:val="0"/>
          <w:lang w:val="fa-IR"/>
        </w:rPr>
        <w:t xml:space="preserve">تعریف از شخصیت بهمنیار</w:t>
      </w:r>
    </w:p>
    <w:p>
      <w:pPr/>
      <w:r>
        <w:rPr>
          <w:rtl w:val="0"/>
          <w:lang w:val="fa-IR"/>
        </w:rPr>
        <w:t xml:space="preserve">ایشان می‏فرماید که شاید منظور ایشان از تشخّص همین تمیّز باشد. بهمنیار هم که فیلسوف عالی‌مقام و عالی‌قدر و بسیار با فضل و فضیلتی بود، در اینجا می‏فرمایند که تشخّص به سبب احوال ماده است؛ یعنی به سبب حالاتی که برای ماده پیدا می‏شود؛ مثل وضعش، لوازمش، عوارضش، انتساب به زمان و مکانش.</w:t>
      </w:r>
    </w:p>
    <w:p>
      <w:pPr>
        <w:pStyle w:val="Heading6"/>
      </w:pPr>
      <w:r>
        <w:rPr>
          <w:rtl w:val="0"/>
          <w:lang w:val="fa-IR"/>
        </w:rPr>
        <w:t xml:space="preserve">آثار تشخّص و فرق آن با تشخّص</w:t>
      </w:r>
    </w:p>
    <w:p>
      <w:pPr/>
      <w:r>
        <w:rPr>
          <w:rtl w:val="0"/>
          <w:lang w:val="fa-IR"/>
        </w:rPr>
        <w:t xml:space="preserve">ایشان هم تقریباً قائل به همین مطلبی که قول قبل قائل به آن بود، هستند و این مطلب در جواب ایشان هم همین است؛ یعنی خود مرحوم بهمنیار در اینجا کلامی دارند که این کلام حکایت از این می‏کند که بنا به فرمودۀ مرحوم آخوند منظورشان از تشخّص در اینجا علامت تشخّص و اثر تشخّص است نه‌اینکه نفس تشخّص منظور باشد، اثر تشخّص همین است که احساس می‏کنیم؛ ارتباط به زمان و به مکان هست، تحیّز است. دارای وضع و آثار و عوارض است؛ عوارض ذاتیه، عوارض خارجیه، موافق و ملاصق، همۀ اینها از آثار تشخّص است ولی خود تشخّص عبارت از یک امر دیگر و از یک مسئله و وجود دیگر است.</w:t>
      </w:r>
    </w:p>
    <w:p>
      <w:pPr>
        <w:pStyle w:val="Heading6"/>
      </w:pPr>
      <w:r>
        <w:rPr>
          <w:rtl w:val="0"/>
          <w:lang w:val="fa-IR"/>
        </w:rPr>
        <w:t xml:space="preserve">تأثیر شناخت تشخّص فلسفی در مسائل فقهی</w:t>
      </w:r>
    </w:p>
    <w:p>
      <w:pPr/>
      <w:r>
        <w:rPr>
          <w:rtl w:val="0"/>
          <w:lang w:val="fa-IR"/>
        </w:rPr>
        <w:t xml:space="preserve">دقت در این مطلب انسان را حتی نسبت به مسائل فقهی هم یک‌قدری دقیق می‏کند که انسان در پرداختن به ملاکات بین خود داعی ذاتی در نفس مولا که بر فعل تعلق گرفته و بین آثار خارجی تفاوت قائل بشود. بین علت و بین حکمت در کیفیت مطالب و احکام فقهیه بتواند فرق بگذارد که چطور انسان گاهی از اوقات بین آن ملاک و بین مثبتات و بین مُظهر و مثبت یک حکم در آنجا خلط می‏کند؟ و این خلط باعث می‏شود نتیجه طور دیگری باشد. این مسئله، مسئلۀ دقیقی است که راهگشای انسان نسبت به خیلی از مطالب می‏تواند باشد و همین‌طور سایر مواردی که برای تشخّص ذکر کرده‌اند؛ بعضی‏ها گفته‌اند: تشخّص به‌واسطۀ ارتباط یک شخص با قرین او و با صاحب او پیدا می‏شود؛ اگر فرض کنید طائری دارد حرکت می‏کند چگونه انسان بین مذکر و مؤنث او می‏تواند فرق بگذارد؟ فرض کنید که دوتا کبوتر که باهم دارند حرکت می‏کنند انسان از این اقتران این با او می‏فهمد که یکی از اینها باید نر باشد و یکی ماده باشد. اگر یکی تنها می‏رفت آدم نمی‏فهمید که این ماده است یا نر است، مذکر است یا مؤنث است! تشخّص آن از نظرۀ به او معلوم می‏شود.</w:t>
      </w:r>
    </w:p>
    <w:p>
      <w:pPr/>
      <w:r>
        <w:rPr>
          <w:rtl w:val="0"/>
          <w:lang w:val="fa-IR"/>
        </w:rPr>
        <w:t xml:space="preserve">ایشان می‏فرمایند که این باز به همان تمیّز برمی‏گردد نه‌اینکه به تشخّص برگردد و این ذاتی یک شی‏ء دائر بر شناخت ذاتی او نیست و دور لازم می‌آید. بله! ممکن است که ذاتی این شی‏ء از عوارض دیگر مشخص بشود یعنی از نظر به آن، دیگری مشخص بشود نه‌اینکه ذاتی او مترتب بر ذاتی آن بشود بلکه هرکدام برای خودش هست، حالا باهم هستند و بعد هم با دیگری می‏روند، آنچه که در حیوانات هست خیلی خوب است می‏گوید: امروز با تو هستم و فردا با دیگری هستم این مردم هم همین هستند خیلی از آنها که از این مسائل خلاص و راحت شدند آنها هم در رعایت این مسائل به همین بهیمیّت رو آوردند!</w:t>
      </w:r>
    </w:p>
    <w:p>
      <w:pPr>
        <w:pStyle w:val="NaghlegholMatn"/>
      </w:pPr>
      <w:r>
        <w:rPr>
          <w:rStyle w:val="Arabi"/>
          <w:rtl w:val="0"/>
          <w:lang w:val="fa-IR"/>
        </w:rPr>
        <w:t xml:space="preserve">وَ أمّا ما قالَ بَعضُ أهلِ العِلمِ مِن أنَّ الشَخصَ نَفسُ تَصَوُّرِهِ یَمنَعُ الشِّرکَة وَ لَیسَ ذلِکَ بِسَبَبِ مُقَوِّماتِهِ فَإنَّ المُقَوِّمات لِذاتِها لا تَمنَعُ الشِّرکَةَ وَ لا بِسَبَبٍ لازِمٍ فَإنَّهُ مُتَّفِقٌ فَلا یَمنَعُ الشِّرکَةَ و لا بِسببٍ عارضٍ مفارقٍ فإنَّه أیضاً لا یَمنعُ الشرکةَ</w:t>
      </w:r>
      <w:r>
        <w:rPr>
          <w:rtl w:val="0"/>
          <w:lang w:val="fa-IR"/>
        </w:rPr>
        <w:t xml:space="preserve"> </w:t>
      </w:r>
      <w:r>
        <w:rPr>
          <w:rStyle w:val="Arabi"/>
          <w:rtl w:val="0"/>
          <w:lang w:val="fa-IR"/>
        </w:rPr>
        <w:t xml:space="preserve">فَتَعَیَّن أن یَکونَ بِسَبَبِ المادَّة.</w:t>
      </w:r>
      <w:r>
        <w:rPr>
          <w:rStyle w:val="FootnoteReference"/>
        </w:rPr>
        <w:footnoteReference w:id="4"/>
      </w:r>
    </w:p>
    <w:p>
      <w:pPr/>
      <w:r>
        <w:rPr>
          <w:rtl w:val="0"/>
          <w:lang w:val="fa-IR"/>
        </w:rPr>
        <w:t xml:space="preserve">جواب این جمله </w:t>
      </w:r>
      <w:r>
        <w:rPr>
          <w:rStyle w:val="Arabi"/>
          <w:rtl w:val="0"/>
          <w:lang w:val="fa-IR"/>
        </w:rPr>
        <w:t xml:space="preserve">فَیَجِبُ</w:t>
      </w:r>
      <w:r>
        <w:rPr>
          <w:rtl w:val="0"/>
          <w:lang w:val="fa-IR"/>
        </w:rPr>
        <w:t xml:space="preserve"> است! آنچه را که بعضی گفتند: خود تصور آن شخص از شرکت در سایرین جلوگیری می‏کند به‌خاطر مقوّمات او نیست که همان صورتیت، ماده، جنس و فصل باشد، مقومات مفاهیم کلیه هستند و منع از شرکت نمی‏کنند. لازمی در اینجا نیست؛ لوازم و خصوصیاتی که برای اوست، همین‌طور انتسابش به پدر و مادر هم منع از شرکت نمی‏کند یا عوارض او و آنچه که همراه با اوست مثلاً آن نحوۀ از وجودش و آن خصوصیات و آلات و اطوارش که اینها قائم به ذات هستند تمام اینها چیزهایی است که ممکن است در سایر افراد هم وجود داشته باشد؛ اگر جود دارد، بقیه هم ممکن است داشته باشند اگر بخل دارد، بقیه هم ممکن است بخیل باشند اگر اهل انفاق است، همین‌طور اهل بشاشت و رأفت و انبساط است لوازم ذاتیه و غیر ذاتیه در همۀ اینها هیچ دلالتی بر او نسبت به تشخّص نیست چون خیلی‏ها ممکن‏ است این صفات خوب یا صفات ناپسند را داشته باشند. عارض مفارق هم در اینجا نمی‌تواند مانع باشد؛ انتساب به مکان، انتساب به زمان، انتساب به والدین هم منع از شرکت نمی‏کند. پس آن ماده‏ای که قابل لمس و رؤیت است آن ماده است که موجب تشخّص و ظهور خارجی اوست آن ماده را که از او بگیرید مساوی با عدم است.</w:t>
      </w:r>
    </w:p>
    <w:p>
      <w:pPr>
        <w:pStyle w:val="NaghlegholMatn"/>
      </w:pPr>
      <w:r>
        <w:rPr>
          <w:rStyle w:val="Arabi"/>
          <w:rtl w:val="0"/>
          <w:lang w:val="fa-IR"/>
        </w:rPr>
        <w:t xml:space="preserve">فَیَجِبُ حملُه علَی التَّمیِزِ الَّذی هُوَ شَرطٌ لِلتَّشَخُّص فَإنَّ الهَیولیٰ حالُها فی التَّشَخُّصِ وَ مَنعِ الشِّرکَةِ بِحَسَبِ التَّصَوُّرِ حالُ غیرِها بَلِ النّوعُ المُتِکَثِّرُ الأفراد ما لَم یَتَخَصَّصِ المادَّةُ الحامِلَةُ لإفرادِهِ بِوَضعٍ خاصٍ وَ زمانٍ خاصٍ لا یوجَدُ فَردٌ مِنه دونَ غَیرِه فَعُلِمَ أنَّ المادَّةَ ایضاً غَیرُ کافیةٍ لِتَمَیُّزِه فَإنَّ کَثیراً مِنَ الصّوَرِ وَ الهَیَئات مِمّا یَقَعُ شَخصان مِنه فی مادَّةٍ واحِدَة فی زَمانین وَ امتیازُ أحَدِهِما عَنِ الآخَر لا بِالمادَّة بَل بِالزَّمان.</w:t>
      </w:r>
      <w:r>
        <w:rPr>
          <w:rStyle w:val="FootnoteReference"/>
        </w:rPr>
        <w:footnoteReference w:id="5"/>
      </w:r>
    </w:p>
    <w:p>
      <w:pPr/>
      <w:r>
        <w:rPr>
          <w:rtl w:val="0"/>
          <w:lang w:val="fa-IR"/>
        </w:rPr>
        <w:t xml:space="preserve">ایشان می‏فرمایند که حمل این کلام بر تمیّز است. منظور از تشخّص در اینجا تمیّز است، شرط تشخّص این است که تمیّز داشته باشد و نه‌اینکه شرط باشد. بهتر است در متن به‌جای «</w:t>
      </w:r>
      <w:r>
        <w:rPr>
          <w:rStyle w:val="Arabi"/>
          <w:rtl w:val="0"/>
          <w:lang w:val="fa-IR"/>
        </w:rPr>
        <w:t xml:space="preserve">شرط</w:t>
      </w:r>
      <w:r>
        <w:rPr>
          <w:rtl w:val="0"/>
          <w:lang w:val="fa-IR"/>
        </w:rPr>
        <w:t xml:space="preserve">» </w:t>
      </w:r>
      <w:r>
        <w:rPr>
          <w:rStyle w:val="Arabi"/>
          <w:rtl w:val="0"/>
          <w:lang w:val="fa-IR"/>
        </w:rPr>
        <w:t xml:space="preserve">نَتیجةً لِلتشخّص</w:t>
      </w:r>
      <w:r>
        <w:rPr>
          <w:rtl w:val="0"/>
          <w:lang w:val="fa-IR"/>
        </w:rPr>
        <w:t xml:space="preserve"> باشد. حال هیولا در تشخّص و منع شرکت به‌حسب تصور حال غیرش است وقتی که ماده که هیولاست و استعداد برای هر صورتی را دارد، این ماده مفهوم کلی می‌شود؛ یعنی این مفهوم کلی در همۀ اشیاء می‌تواند باشد. آن صورت که می‏آید، این ماده را متعیّن می‏کند والاّ شما هر قالبی که به آن ماده بزنید به همان قالب درمی‏آید و این فقط برای یک صورت خاص انحصار ندارد. مثلاً در این گِل تخم سیب بکارید، تبدیل به سیب خواهد شد، تخم پرتقال در او بکارید تبدیل به درخت پرتقال خواهد شد. هردو خاک است و فرقی نمی‏کند منتها در این موقع همین گِل و همین خاک تبدیل به یک نوع از انواع می‏شود؛ به نفس همین خاک بدون اضافه کردن هیچ مادۀ دیگری تخم سیب بکارید و همین‌جا تخم پرتقال بکارید درحالی‌که به خاک چیزی اضافه نکردید ولی این خاک قدرتی دارد که همان خود را به صورت دیگر و به نوع دیگر درمی‏آورد خود را به شکل دیگر درمی‏آورد. فرض کنید شما در همین خاک تخم هندوانه بکارید این تبدیل به هندوانه می‏شود.</w:t>
      </w:r>
    </w:p>
    <w:p>
      <w:pPr/>
      <w:r>
        <w:rPr>
          <w:rtl w:val="0"/>
          <w:lang w:val="fa-IR"/>
        </w:rPr>
        <w:t xml:space="preserve">البته هندوانه روی زمین کاشته می‌شود و اگر روی هوا باشد روی کلۀ افراد می‏افتد! مثل اینکه خدا به ملائکه‏اش گفته: هندوانه و خربزه و این کدوها که بزرگ هستند را روی زمین بکارند تا در سر کسی‏ نخورد ولی گردو و اینها را نه، اگر خورد هم خورد مثل اینکه خدا عقلش یک مقدار از ما بیشتر است!!</w:t>
      </w:r>
    </w:p>
    <w:p>
      <w:pPr/>
      <w:r>
        <w:rPr>
          <w:rStyle w:val="Arabi"/>
          <w:rtl w:val="0"/>
          <w:lang w:val="fa-IR"/>
        </w:rPr>
        <w:t xml:space="preserve">حالُ غیرِها...؛ </w:t>
      </w:r>
      <w:r>
        <w:rPr>
          <w:rtl w:val="0"/>
          <w:lang w:val="fa-IR"/>
        </w:rPr>
        <w:t xml:space="preserve">حال هیولا حال غیر خودش است؛ اعم از عوارض و لوازم و ذاتیات تفاوت نمی‏کند. نوعی که افرادش زیاد است، هر نوعی که دارای افراد متکثر است مادامی که ماده‏ای که حامل افرادش به یک وضع خاص و زمان خاص است، تخصص پیدا نکند فردی از او </w:t>
      </w:r>
      <w:r>
        <w:rPr>
          <w:rStyle w:val="Arabi"/>
          <w:rtl w:val="0"/>
          <w:lang w:val="fa-IR"/>
        </w:rPr>
        <w:t xml:space="preserve">دون غیره</w:t>
      </w:r>
      <w:r>
        <w:rPr>
          <w:rtl w:val="0"/>
          <w:lang w:val="fa-IR"/>
        </w:rPr>
        <w:t xml:space="preserve"> پیدا نمی‏شود. مشخص می‏شود مادۀ تنها کفایت برای تمیّز نمی‏کند و برای تمیّز چیز دیگر می‏خواهیم؛ باید یک صورت که آن حقیقت وجودیۀ شخص است بیاید و آن ماده را از جنبۀ قابلیت سریان برای هر فردی خارجش کند و فقط در یک مورد خاص منحصرش کند.</w:t>
      </w:r>
    </w:p>
    <w:p>
      <w:pPr/>
      <w:r>
        <w:rPr>
          <w:rStyle w:val="Arabi"/>
          <w:rtl w:val="0"/>
          <w:lang w:val="fa-IR"/>
        </w:rPr>
        <w:t xml:space="preserve">فَإنَّ کَثیراً مِنَ الصّوَرِ</w:t>
      </w:r>
      <w:r>
        <w:rPr>
          <w:rtl w:val="0"/>
          <w:lang w:val="fa-IR"/>
        </w:rPr>
        <w:t xml:space="preserve">...؛ بسیاری از صورت‌ها و هیئت‌ها در یک ماده در دو زمان واقع می‏شوند؛ یعنی یک ماده هست که یک ماده دو صورت دارد؛ مثلاً یک ساعت پیش یک صورت داشت و الآن در اثر آب‌وهوا و اینها عوض شده و یک صورت دیگر پیدا کرده است. در دو زمان ماده یکی است ولی صورت فرق می‏کند؛ ماده‏اش که یکی است اما چون دو زمان بوده اینها با همدیگر امتیاز پیدا می‏کنند که ایشان فرمودند: تشخّص به سبب حالاتی است که بر ماده عارض می‏شود؛ وضع آن، چگونگی آن، حیّزش، انتساب به مکانش، بااینکه زمانش متحد است ـ یک زمان با اتحاد زمان ـ مقصود از تشخّص همین ممیّز است، ممیزی که بین دو شی‏ء و بین دو چیز فرق می‏گذارد.</w:t>
      </w:r>
    </w:p>
    <w:p>
      <w:pPr/>
      <w:r>
        <w:rPr>
          <w:rtl w:val="0"/>
          <w:lang w:val="fa-IR"/>
        </w:rPr>
        <w:t xml:space="preserve">آنچه که ممیزات است فرق می‏گذارد؛ آن عبارت از وضع و انتساب به مکان است مثلاً این شخص اینجا نشسته و آن دیگری یک متر آن‌طرف‌تر نشسته است و این کیفیت جلوس، کیفیت حرکت، خصوصیت و آن خصوصیتی که الآن در شکل، در استقامت، در جلوس و ارتباط اعضاء نسبت به دیگری دارد، ایشان می‏فرمایند که تمام اینها مشخِصّات نیستند بلکه ممیّزات هستند. من‌باب‌مثال وقتی که من شما را به این شکل می‏بینیم و دیگری را هم به آن شکل می‏بینیم، باهم فرق می‏کنید و دو جور وضع در اینجا ملاحظه می‏شود و دو مکان در اینجا ملاحظه می‏شود. اختلاف هست ولی زمان یکی است هردو با همدیگر فرق ندارید. اول دو ثانیه شما زودتر از ایشان یا یک دقیقه بعد از ایشان دیده می‌شوید! دیده‌اید که بعضی‏ها وقتی حرف می‏زنند طرف دو دقیقۀ دیگر یا پنج دقیقه دیگر می‏خندد؟! پنج دقیقۀ دیگر تازه می‏فهمد چه گفته است! یکی به مجلسی وارد شد دید همه دارند می‏خندند، او هم خندید. گفتند: تو چرا می‏خندی؟! گفت: به شما اعتماد کردم تا بعد بفهمم! حالا نمی‏گویم که اهل کدام منطقه بوده است! گفت: چون به شما اعتماد کردم، دیدم شما می‏خندید پس حتماً خنده‏دار است! مهم خندیدن است نیاز نیست آدم بفهمد چه گفته است!!</w:t>
      </w:r>
    </w:p>
    <w:p>
      <w:pPr>
        <w:pStyle w:val="SoalMatn"/>
      </w:pPr>
      <w:r>
        <w:rPr>
          <w:rtl w:val="0"/>
          <w:lang w:val="fa-IR"/>
        </w:rPr>
        <w:t xml:space="preserve">تلمیذ</w:t>
      </w:r>
      <w:r>
        <w:rPr>
          <w:rtl w:val="0"/>
          <w:lang w:val="fa-IR"/>
        </w:rPr>
        <w:t xml:space="preserve">: </w:t>
      </w:r>
      <w:r>
        <w:rPr>
          <w:rStyle w:val="Arabi"/>
          <w:rtl w:val="0"/>
          <w:lang w:val="fa-IR"/>
        </w:rPr>
        <w:t xml:space="preserve">الإنسانُ ضاحِکٌ.</w:t>
      </w:r>
    </w:p>
    <w:p>
      <w:pPr/>
      <w:r>
        <w:rPr>
          <w:rtl w:val="0"/>
          <w:lang w:val="fa-IR"/>
        </w:rPr>
        <w:t xml:space="preserve">استاد</w:t>
      </w:r>
      <w:r>
        <w:rPr>
          <w:rtl w:val="0"/>
          <w:lang w:val="fa-IR"/>
        </w:rPr>
        <w:t xml:space="preserve">: «باکی» هم داریم؛ ﴿</w:t>
      </w:r>
      <w:r>
        <w:rPr>
          <w:rtl w:val="0"/>
          <w:lang w:val="fa-IR"/>
        </w:rPr>
        <w:t xml:space="preserve">فَلۡيَضۡحَكُواْ قَلِيلٗا وَلۡيَبۡكُواْ كَثِيرٗا جَزَآءَۢ بِمَا كَانُواْ يَكۡسِبُونَ</w:t>
      </w:r>
      <w:r>
        <w:rPr>
          <w:rStyle w:val="Arabi"/>
          <w:rtl w:val="0"/>
          <w:lang w:val="fa-IR"/>
        </w:rPr>
        <w:t xml:space="preserve">﴾</w:t>
      </w:r>
      <w:r>
        <w:rPr>
          <w:rStyle w:val="FootnoteReference"/>
        </w:rPr>
        <w:footnoteReference w:id="6"/>
      </w:r>
      <w:r>
        <w:rPr>
          <w:rStyle w:val="Arabi"/>
          <w:rtl w:val="0"/>
          <w:lang w:val="fa-IR"/>
        </w:rPr>
        <w:t xml:space="preserve"> </w:t>
      </w:r>
      <w:r>
        <w:rPr>
          <w:rtl w:val="0"/>
          <w:lang w:val="fa-IR"/>
        </w:rPr>
        <w:t xml:space="preserve">خب البته این را برای ما که نگفته‌اند!</w:t>
      </w:r>
    </w:p>
    <w:p>
      <w:pPr>
        <w:pStyle w:val="NaghlegholMatn"/>
      </w:pPr>
      <w:r>
        <w:rPr>
          <w:rStyle w:val="Arabi"/>
          <w:rtl w:val="0"/>
          <w:lang w:val="fa-IR"/>
        </w:rPr>
        <w:t xml:space="preserve">وَ هکَذا القول فی حَملِ ما ذَهَبَ إلَیهِ بَهمَنیار مِن أنَّ التَّشَخُّصَ بِسَبَبِ أحوالِ المادَّةِ مِنَ الوَضعِ وَ الحَیِّز مَعَ اتِّحادِ الزَّمان فَإنَّ المَقصودَ مِنه المُمَیِّزِ المُفارِقِ بَینَ الشّیئَین لا ما یَجعَلُ الطَّبیعَةَ شَخصیةً وَ لهذا حَکَمَ حَیثُ رَأیٰ الوَضعَ مَع الزَّمانِ مُتِبَدِّلاً مَعَ بَقاءِ الشَّخصِ بِأنَّ المُشَخِّصَ هوَ وَضعٌ ما مِنَ الأوضاعِ الوارِدَة عَلَی الشَّخص فی زمانِ وجوده وَ لَولا أنَّ مُرادَهُ مِنَ المُشَخِّص عَلامَةُ الشَّخصِ و لازمُ وجودِه کَیفَ یَصِحُّ مِنه هذا الحُکمُ فَإنَّ الشَّخصَ المادّی کَزیدٍ مانِعٌ مِن فَرضِ الشِّرکَة فیه بدونِ اعتبارِ وضعِه.</w:t>
      </w:r>
      <w:r>
        <w:rPr>
          <w:rStyle w:val="FootnoteReference"/>
        </w:rPr>
        <w:footnoteReference w:id="7"/>
      </w:r>
    </w:p>
    <w:p>
      <w:pPr/>
      <w:r>
        <w:rPr>
          <w:rtl w:val="0"/>
          <w:lang w:val="fa-IR"/>
        </w:rPr>
        <w:t xml:space="preserve">مقصود از کلام بهمنیار، مقصود از تشخّص ممیزی است که بین دو شی‏ء بین دو تعیّن می‏آید و بین آنها فاصله می‏اندازد منظور این نیست که بیاید طبیعه را شخصی‏اش کند، عینی‏اش کند، در خارج نشان بدهد منظور آن نیست آنکه وجود است و لذا همین ایشان در اینجا فرمودند: دیدند وضع با زمان تبدیل می‏کند شخص باقی است ولکن وضعش فرق می‏کند چه فرمودند؟ آنچه که مشخص است کیفیت شخص است، وضع و آن هیئت شخص است، وضع؛ یعنی همان هیئت، هیئت شخص است از هر هیئتی که می‏خواهد بر شخص در زمان وجودش به او وارد بشود؛ یعنی در آن زمان وجودش آن هیئتی که‏ دارد، او را از بقیه ممتاز می‏کند؛ الآن ما در اینجا وجود داریم؛ خب شما که وجود من را نمی‏فهمید از کجا می‏فهمید؟! از هیئت من می‌فهمید؛ نگاه به هیئت من می‏کنید؛ این چرندوپرندها چیست که می‌گوید! این هیئت مرا که نگاه می‏کنید با خودتان به عقل و کمال و درایت مقایسه می‏کنید، آن چیست؟ می‌گویید: دوتاست، این یکی است و آن یکی دیگر است؛ این یک وجود است و آن وجود دیگر است اگر منظور ایشان از مشخِّص آثار تمیّز نبود، آثار تشخّص نبود و لازمۀ وجود او نبود چگونه یک هم‌چنین حرفی را می‏زدند؟ اینکه ایشان می‏فرماید: </w:t>
      </w:r>
      <w:r>
        <w:rPr>
          <w:rStyle w:val="Arabi"/>
          <w:rtl w:val="0"/>
          <w:lang w:val="fa-IR"/>
        </w:rPr>
        <w:t xml:space="preserve">وضع ما</w:t>
      </w:r>
      <w:r>
        <w:rPr>
          <w:rtl w:val="0"/>
          <w:lang w:val="fa-IR"/>
        </w:rPr>
        <w:t xml:space="preserve"> در وقت وجود؛ یعنی آن اثری که از وجود الآن دیده می‏شود. آن اثر چیست؟ آن هیئت، آن اثر است که مشخصِ از اوست پس خود مشخِّص چیز دیگر است. اسم مؤثر را آوردند روی اثر گذاشتند و اسم محکی را روی حاکی آورده قرار داده است. این خودش بدون اعتبار وضعه، منع از فرض شرکت می‏کند. اصلاً کاری به هیئتش نداریم، اصلاً هیئتش را ندیدیم و قیافه‏اش را ندیدیم. آیا خودش وجود دارد یا ندارد؟ همین‌که خودش وجود دارد چه ببینیم چه نبینیم در هر وضعی می‏خواهد باشد در هر هیئتی می‏خواهد باشد اصلاً به هیئتش کاری نداریم به هیچ‌کدام از اینها کار نداریم ولی این زید فی‌حدّنفسه منع شرکت می‏کند و به وضع کاری ندارد. این وضع، آثار تشخّص است.</w:t>
      </w:r>
    </w:p>
    <w:p>
      <w:pPr>
        <w:pStyle w:val="NaghlegholMatn"/>
      </w:pPr>
      <w:r>
        <w:rPr>
          <w:rStyle w:val="Arabi"/>
          <w:rtl w:val="0"/>
          <w:lang w:val="fa-IR"/>
        </w:rPr>
        <w:t xml:space="preserve">وَ کذا المراد من قولهم یَجوزُ أن یَمتازَ کُلُّ واحِدٍ مِن الشیئَین بِصاحِبِه فَإنَّ تَوَقُّفَ امتیازِ الطائِر علَی الوَلود و امتیازِ الولود علَی الطائر لَیسَ بِدورٍ إذِا المُمتَنِعُ تَوَقُّفُ ذاتِ کُلِّ مِنهُما عَلی ذاتِ الآخَر أو تَوَقُّفُ امتیازِ کُلِّ مِنهُما عَلی امتیاز الآخَر.</w:t>
      </w:r>
      <w:r>
        <w:rPr>
          <w:rStyle w:val="FootnoteReference"/>
        </w:rPr>
        <w:footnoteReference w:id="8"/>
      </w:r>
    </w:p>
    <w:p>
      <w:pPr/>
      <w:r>
        <w:rPr>
          <w:rtl w:val="0"/>
          <w:lang w:val="fa-IR"/>
        </w:rPr>
        <w:t xml:space="preserve">تفسیر دیگری که از تشخّص شده است گفته‌اند که مراد از تشخّص این است که هرکدام از دو شی‏ء به صاحب و به قرین خودش امتیاز پیدا کند؛ توقف امتیاز طائر بر ولود بر آن کسی که در کنارش هست و امتیاز ولود بر آن طائر، به دور نیست. آدم از این می‏فهمد آن چیست؛ از آن می‏فهمد این مؤنث است و از این می‌فهمد این مذکر است اگر تنها باشد نمی‏فهمد بلکه باید دوتایی باشند تا مقایسه بکند. دیگر آنهایی که‏ خیلی خبیر هستند و نگاه می‏کنند، می‏فهمند.</w:t>
      </w:r>
    </w:p>
    <w:p>
      <w:pPr/>
      <w:r>
        <w:rPr>
          <w:rtl w:val="0"/>
          <w:lang w:val="fa-IR"/>
        </w:rPr>
        <w:t xml:space="preserve">ایشان می‏فرمایند که ممتنع این است که ذات یکی از اینها بر ذات دیگری متوقف باشد درحالی‌که ذات هرکدام اختصاص به خودش دارد و ربطی به دیگری ندارد، چه با همدیگر پرواز کنند چه نه، خیلی عجیب است! این قضیه را برای رفقا گفتم، ولی بسیار موضوع مهمی است؛ یک بنده خدایی بود الآن حیات دارد ولی ناقل این قضیه فوت کرده است. می‏گفت: یک دفعه با این سید که بسیار ساده بود داشتیم می‏رفتیم و جاده‏ای در کنار باغ بود، هفتۀ قبل به همان باغ رفتیم و جاده‏ای خاکی بود و طی کردیم تا به آن محل رسیدیم، هفتۀ بعد که آمدیم برویم، خب این شخص اهل آنجا بود ولی این سید بااینکه مسافر و مهمان بود، می‏گفت: نه باید از این‌طرف برویم، می‏گفتیم که از کجا می‏دانی باید از این‌طرف برویم؟! می‏گفت: من دلیل دارم! مدام می‏گفتیم: بابا ما اهل اینجاییم تو می‏گویی: من دلیل دارم؟! گفت: هفتۀ قبل که از اینجا می‏رفتیم دوتا کبوتر بالای سر ما بودند و همراه ما آمدند، الآن همان دوتا کبوتر دارند از آن‌طرف می‏روند، حالا شما این قضیه را ببینید همان قضیۀ خسن و خسین هرسه دختران مغاویه است می‌شود</w:t>
      </w:r>
      <w:r>
        <w:rPr>
          <w:rStyle w:val="FootnoteReference"/>
        </w:rPr>
        <w:footnoteReference w:id="9"/>
      </w:r>
      <w:r>
        <w:rPr>
          <w:rtl w:val="0"/>
          <w:lang w:val="fa-IR"/>
        </w:rPr>
        <w:t xml:space="preserve">!! اولاً تو مهمانی و این اهل این شهر است و باغش اینجاست، حالا تو داری راه را به او نشان می‏دهی؟! بعد هم آن دوتا کبوتر مگر همان‌هایی هستند که تو دیدی؟! ثانیاً مگر کبوتر باید از یک جا برود؟! حالا امروز آمده از یک جای دیگر دارد می‏رود! جداً ببینید خودمان این‌طوری نیستیم؟!</w:t>
      </w:r>
    </w:p>
    <w:p>
      <w:pPr/>
      <w:r>
        <w:rPr>
          <w:rtl w:val="0"/>
          <w:lang w:val="fa-IR"/>
        </w:rPr>
        <w:t xml:space="preserve">در قضایا و حکمی که می‏کنیم این‌طوری نیست؟! به همین راحتی؛ یک حرفی یک نقلی می‌گوییم و اصلاً نه روی آن فکر می‏کنیم و نه تأمل می‌کنیم! براساس ذهنیتمان می‏آییم و ... حالا وقتی انتهای آن را نگاه می‌کنیم می‏بینیم این قضیه اصلاً این‌طور نبود، فقط آمدیم و رفتیم و حکم کردیم و اساس تمام کارهایمان را هم روی همین گذاشتیم؛ گفتیم که إلاّ و بِالله همین است! آقا این همین است که من می‏فهمم و غیر از این‌هم نیست، حالا بیا درستش کن! می‏گوییم که به خدا به پیغمبر، این نیست. می‌گوید: نه‌خیر همین است!</w:t>
      </w:r>
    </w:p>
    <w:p>
      <w:pPr/>
      <w:r>
        <w:rPr>
          <w:rtl w:val="0"/>
          <w:lang w:val="fa-IR"/>
        </w:rPr>
        <w:t xml:space="preserve">خلاصه می‏گفت: آخر نمی‌آمد. بالأخره گفتیم: بابا برویم اگر آنجا نبود برمی‏گردیم. یک مقدار راه نیم ساعت بیشتر برویم رفتیم دیدیم همان باغ پیدا شد، همان در پیدا شد و همان فضا پیدا شد. آن‌وقت این آقا با این طرز تفکر در مردم می‏خواهد زندگی کند! حالا بیا و ببین چه خواهد شد! مگر کسی با این می‏تواند رفیق شود؟ مگر کسی با این آدم و با این طرز تفکر که کبوتری دارد از بالا می‏رود پس این راه همان است، می‏تواند آشنا شود؟!</w:t>
      </w:r>
    </w:p>
    <w:p>
      <w:pPr/>
      <w:r>
        <w:rPr>
          <w:rtl w:val="0"/>
          <w:lang w:val="fa-IR"/>
        </w:rPr>
        <w:t xml:space="preserve">یک دفعه یک جایی بدرقۀ مرحوم آقا رضوان الله تعالی علیه رفته بودیم می‏خواستند مشهد بروند، در همان سفری که هجرت کردند و دیگر رفتند، بعد یکی از رفقا آنجا بود یک طیاره‏ای در آنجا ایستاده بود. یکی گفت که این برای کجاست؟ گفت: برای یک کشوری است. بعد گفت: از کجا می‏گویی؟ گفت: هر روز این طیاره از بالا سر می‏آید و می‏رود، و در روزنامه هم نوشته که فلان طیاره از فلان کشور در اینجا می‏آید. این شکلش مثل آن است پس این باید برای آنجا باشد! آن‌وقت همین آقایی که دارم می‏گویم ـ جدی دارم به شما می‏گویم ـ همین آقایی که این حرف را دارد می‏زند که الآن همه داریم می‏خندیم، نه صغریٰ قضیه صغریٰ است و نه کبریٰ آن کبریٰ است و نه نتیجه‌اش نتیجه است! مرده‏شور هم صغرایت را ببرد و هم کبرایت را ببرد. مرده‌شور آنچه که از این صغریٰ و کبریٰ درآمده که همان نتیجه است را ببرد! ـ الآن تئوریسین یک جریان می‏شود! آن‌وقت باید چه‌کار کنیم؟! این سرمان را باید به کجا بزنیم؟! به درخت بزنیم؟! به دیوار بزنیم؟! این آقا تئوریسین یک جریان می‏شود! عجیب است!</w:t>
      </w:r>
    </w:p>
    <w:p>
      <w:pPr/>
      <w:r>
        <w:rPr>
          <w:rtl w:val="0"/>
          <w:lang w:val="fa-IR"/>
        </w:rPr>
        <w:t xml:space="preserve">مولانا ـ خدا رحمتش کند ـ واقعاً یکی از این حرف‌های مولانا بین سایر حرف‌ها پیدا می‏شود؟! ـ چقدر می‏گوید: به افکارتان توجه کنید، چقدر می‏گوید: به این خیالات فکر نکنید؛ «بر خیالی صلحشان و جنگشان»؛</w:t>
      </w:r>
      <w:r>
        <w:rPr>
          <w:rStyle w:val="FootnoteReference"/>
        </w:rPr>
        <w:footnoteReference w:id="10"/>
      </w:r>
      <w:r>
        <w:rPr>
          <w:rtl w:val="0"/>
          <w:lang w:val="fa-IR"/>
        </w:rPr>
        <w:t xml:space="preserve"> با یک خیال اخم می‏کند و جنگ شروع می‏کند بعد با یک لبخند صلح می‏کند و می‌گوید که آدم خوبی است، اشتباه‏ کردم دیروز گفتم: آدم بدی است! چرا؟! چون حالا به او خندیده است. همین تمام شد! یک کاری انجام می‏دهد همه خیال در خیال در خیال! عجیب است! یااینکه باید چشم انسان باز شود و باطن افراد را ببیند که خب مشکل از بُن حل می‏شود و وقتی که باطن را نگاه بکند، دیگر به حرف نگاه نمی‏کند؛ ممکن است حرف حرفی نامناسب باشد ولی باطن، باطنی است که غرض ندارد و وقتی غرض ندارد این دیگر عکس‏العمل نشان نمی‏دهد. می‌بیند اشتباه گفته و منظورش این بوده است. خب انسان خیلی از اوقات حرف را اشتباهی می‏زند ولی منظوری ندارد. بنده خودم خیلی از اوقات در تلفظ، در کردار، در الفاظ اشتباه می‏کنم و در یک منظور دیگری هستم و حرفم یک منظور دیگری را می‏رساند لذا شبهه پیش می‏آید، اما اگر انسان باطن را نگاه بکند این شبهات برایش نیست. یا باید این‌طور باید بشود یا از نظر عقلی حداقل به یک جایی برسد که بتواند روی مطالب، آن حساب صحیح خودش را بار کند، نه از نظر باطن چشممان باز است و نه از نظر ظاهر به یک وزان عقلی و یک متانت عقلی و نفسی رسیده‌ایم که مطالب را بتوانیم بار کنیم. آن‌وقت چه می‌شود؟! خیال می‏کنیم؛ خیال در خیال در خیال و تصور! این می‌شود اوضاعی که دارید می‏بینید؛ این جنگل مولایی که دارید می‏بینید!!</w:t>
      </w:r>
    </w:p>
    <w:p>
      <w:pPr>
        <w:pStyle w:val="NaghlegholMatn"/>
      </w:pPr>
      <w:r>
        <w:rPr>
          <w:rStyle w:val="Arabi"/>
          <w:rtl w:val="0"/>
          <w:lang w:val="fa-IR"/>
        </w:rPr>
        <w:t xml:space="preserve">و أمّا توقفُ امتیازِ کلٍ منهما عَلی نَفس الآخَر فلا یلزم منه محذور کَما سَیَجی فی حالِ المُتِضایفین.</w:t>
      </w:r>
      <w:r>
        <w:rPr>
          <w:rStyle w:val="FootnoteReference"/>
        </w:rPr>
        <w:footnoteReference w:id="11"/>
      </w:r>
    </w:p>
    <w:p>
      <w:pPr/>
      <w:r>
        <w:rPr>
          <w:rtl w:val="0"/>
          <w:lang w:val="fa-IR"/>
        </w:rPr>
        <w:t xml:space="preserve">توقف امتیاز هرکدام بر یکی دیگر اشکال ندارد، شما به او نگاه می‏کنی می‏بینی که این با او فرق می‏کند، خیلی خوب امتیاز این متوقف بر اوست، مسئله‌ای نیست و دور لازم نمی‌آید. متضایفین هم همین است که در آنها امتیاز یکی از آنها بر دیگری [مورد نظر است] یا در مورد اضافۀ ابن، اب، تحت، فوق، سماء، یمین و یسار این وجود هرکدام متوقف بر دیگری نیست ولی اتصاف یکی متوقف بر دیگری است؛ وجود سماء متوقف بر ارض نیست و سماء برای خودش هست و وجود ارض هم متوقف بر سماء نیست چون این‌هم برای خودش هست ولی ارضیت، سمائیت، تحتیت، فوقیت و امثال‌ذلک عناوینی هستند که اینها معلول برای متضایفین هستند و تا تضایفی نباشد این عناوین انتزاع و استخراج نمی‏شود.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1.</w:t>
      </w:r>
      <w:r>
        <w:rPr>
          <w:rtl w:val="0"/>
          <w:lang w:val="fa-IR"/>
        </w:rPr>
        <w:t xml:space="preserve"> یک دفعه در حرم امام حسین علیه‌السّلام مشرف شده بودیم یکی از این رفقا آنجا بود، خواست نماز بخواند بعد از تکبیر، گفت: «</w:t>
      </w:r>
      <w:r>
        <w:rPr>
          <w:rStyle w:val="Arabi"/>
          <w:rtl w:val="0"/>
          <w:lang w:val="fa-IR"/>
        </w:rPr>
        <w:t xml:space="preserve">أعوذُ بِالله مِنَ الشَّیطانِ الرَّجیم، بِسمِ اللهِ الرَّحمٰنِ الرَّحیم»</w:t>
      </w:r>
      <w:r>
        <w:rPr>
          <w:rtl w:val="0"/>
          <w:lang w:val="fa-IR"/>
        </w:rPr>
        <w:t xml:space="preserve">، یکی از اهل علم که مسنّ هم بود و لابد با کاروان آمده بود به ایشان رو می‏کند و می‌گوید که ـ ایشان بعداً به من گفت؛ یعنی من ندیدم ـ بعد از تکبیر دیگر استعاذه نیست. «</w:t>
      </w:r>
      <w:r>
        <w:rPr>
          <w:rStyle w:val="Arabi"/>
          <w:rtl w:val="0"/>
          <w:lang w:val="fa-IR"/>
        </w:rPr>
        <w:t xml:space="preserve">بِسمِ اللهِ الرَّحمٰنِ الرَّحیم»</w:t>
      </w:r>
      <w:r>
        <w:rPr>
          <w:rtl w:val="0"/>
          <w:lang w:val="fa-IR"/>
        </w:rPr>
        <w:t xml:space="preserve"> باید</w:t>
      </w:r>
      <w:r>
        <w:rPr>
          <w:rStyle w:val="Arabi"/>
          <w:rtl w:val="0"/>
          <w:lang w:val="fa-IR"/>
        </w:rPr>
        <w:t xml:space="preserve"> </w:t>
      </w:r>
      <w:r>
        <w:rPr>
          <w:rtl w:val="0"/>
          <w:lang w:val="fa-IR"/>
        </w:rPr>
        <w:t xml:space="preserve">گفت. گفتم به ایشان بگویید: شما تکبیرات مستحبه را در روایات تا به حالا ندیده‌اید؟! چقدر واقعاً مردم دور از مسائل هستند!</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14.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پنجم، ص 472.</w:t>
      </w:r>
    </w:p>
  </w:footnote>
  <w:footnote w:id="4">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w:t>
      </w:r>
    </w:p>
  </w:footnote>
  <w:footnote w:id="5">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سوره توبه (9) آیه 82. </w:t>
      </w:r>
      <w:r>
        <w:rPr>
          <w:rtl w:val="0"/>
          <w:lang w:val="fa-IR"/>
        </w:rPr>
        <w:t xml:space="preserve">امام شناسی</w:t>
      </w:r>
      <w:r>
        <w:rPr>
          <w:rtl w:val="0"/>
          <w:lang w:val="fa-IR"/>
        </w:rPr>
        <w:t xml:space="preserve">، ج 10، ص 211:</w:t>
      </w:r>
    </w:p>
    <w:p>
      <w:pPr>
        <w:pStyle w:val="FootnoteText"/>
      </w:pPr>
      <w:r>
        <w:rPr>
          <w:rtl w:val="0"/>
          <w:lang w:val="fa-IR"/>
        </w:rPr>
        <w:t xml:space="preserve">«و باید آنها كم بخندند و بسیار گریه كنند به پاداش أعمالى كه از آنها سر زده است.»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14 و 15.</w:t>
      </w:r>
    </w:p>
  </w:footnote>
  <w:footnote w:id="9">
    <w:p>
      <w:pPr>
        <w:pStyle w:val="FootnoteText"/>
      </w:pPr>
      <w:r>
        <w:rPr>
          <w:rStyle w:val="FootnoteReference"/>
        </w:rPr>
        <w:footnoteRef/>
      </w:r>
      <w:r>
        <w:t xml:space="preserve"> </w:t>
      </w:r>
      <w:r>
        <w:rPr>
          <w:rtl w:val="0"/>
          <w:lang w:val="fa-IR"/>
        </w:rPr>
        <w:t xml:space="preserve">. اشاره به این داستان است:</w:t>
      </w:r>
    </w:p>
    <w:p>
      <w:pPr>
        <w:pStyle w:val="FootnoteText"/>
      </w:pPr>
      <w:r>
        <w:rPr>
          <w:rtl w:val="0"/>
          <w:lang w:val="fa-IR"/>
        </w:rPr>
        <w:t xml:space="preserve">یكی گفت: خسن و خسین هر سه دختران مغاویه بودند كه در مدینه آنان را گرگ درید!</w:t>
      </w:r>
    </w:p>
    <w:p>
      <w:pPr>
        <w:pStyle w:val="FootnoteText"/>
      </w:pPr>
      <w:r>
        <w:rPr>
          <w:rtl w:val="0"/>
          <w:lang w:val="fa-IR"/>
        </w:rPr>
        <w:t xml:space="preserve">گفتند: خسن و خسین نبود، حسن و حسین بود. هر سه نبود، هر دو بود. دختر نبود، پسر بود. مغاویه نبود معاویه بود. معاویه هم نبود علی(علیه‌السّلام) بود. در مدینه گرگ آنها را پاره نكرد بلكه امام حسن را زنش زهر داد، امام حسین را هم شمر ملعون تو صحرای كربلا شهید كرد. آن كسی را هم كه گرگ خورد حضرت یوسف بود آن هم در مدینه نبود در راه كنعان به مصر بود آن هم نخورد بلكه برادرهایش گفتند خورد كه از اصل دروغ بود! (محقق)</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3:</w:t>
      </w:r>
    </w:p>
    <w:p>
      <w:pPr>
        <w:pStyle w:val="She'rPavaraghi"/>
      </w:pPr>
      <w:r>
        <w:rPr>
          <w:rtl w:val="0"/>
          <w:lang w:val="fa-IR"/>
        </w:rPr>
        <w:t xml:space="preserve">بر خیالی صلحشان و جنگشان *** وز خیالی فخرشان و ننگشان</w:t>
      </w:r>
    </w:p>
    <w:p>
      <w:pPr>
        <w:pStyle w:val="FootnoteText"/>
      </w:pP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