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ششصد و بیستم</w:t>
      </w:r>
    </w:p>
    <w:p>
      <w:pPr>
        <w:pStyle w:val="Heading5"/>
      </w:pPr>
      <w:r>
        <w:rPr>
          <w:rtl w:val="0"/>
          <w:lang w:val="fa-IR"/>
        </w:rPr>
        <w:t xml:space="preserve">فصل حقیقی انسان از سایر موجودات</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مرحوم آقا ـ خودنویسی داشتند [از مارک] هایپر ولی مدام جوهر پس می‌داد و ایشان هم مدام دستشان را با صابون می‌شستند و انگشتشان همیشه جوهری بود الآن هم آن را دارم. ولی این خودکار‌های جدید این‌طور نیست و جوهر پس نمی‌دهد! خیلی راحت؛ همه چیز راحت شده است!</w:t>
      </w:r>
    </w:p>
    <w:p>
      <w:pPr>
        <w:pStyle w:val="Heading6"/>
      </w:pPr>
      <w:r>
        <w:rPr>
          <w:rtl w:val="0"/>
          <w:lang w:val="fa-IR"/>
        </w:rPr>
        <w:t xml:space="preserve">نظم جالب و بی‌نظیر مرحوم علامه طهرانی رضوان الله تعالیٰ علیه</w:t>
      </w:r>
    </w:p>
    <w:p>
      <w:pPr/>
      <w:r>
        <w:rPr>
          <w:rtl w:val="0"/>
          <w:lang w:val="fa-IR"/>
        </w:rPr>
        <w:t xml:space="preserve">مرحوم آقا خیلى دقت مى‏كردند، برای مثال كاغذ حتماً باید فلان كاغذ باشد، براى جوهر می‌فرمودند که بروید بهترین جوهر را بگیرید، ما مى‏رفتیم آن‌قدر مى‏گشتیم تا بهترین جوهرى كه بود را می‌خریدیم، ایشان خیلى دقیق بودند مثل ما نبودند! ما همین‌طور شلخته و هردمبیلی هستیم! تمام نوشته‏هایشان همه هست! ما همین‌طور مى‏نویسیم و می‌رویم و همین‌كه كپى بشود دیگر معلوم نیست كجاست! ایشان خیلى منظم بودند و اینها را مى‏دادند صحافى كنند، نظم خیلى جالبی داشتند.</w:t>
      </w:r>
    </w:p>
    <w:p>
      <w:pPr/>
      <w:r>
        <w:rPr>
          <w:rtl w:val="0"/>
          <w:lang w:val="fa-IR"/>
        </w:rPr>
        <w:t xml:space="preserve">شخصی نقل مى‏كرد و مى‏گفت که ما یک جلد از </w:t>
      </w:r>
      <w:r>
        <w:rPr>
          <w:rtl w:val="0"/>
          <w:lang w:val="fa-IR"/>
        </w:rPr>
        <w:t xml:space="preserve">امام ‏شناسى </w:t>
      </w:r>
      <w:r>
        <w:rPr>
          <w:rtl w:val="0"/>
          <w:lang w:val="fa-IR"/>
        </w:rPr>
        <w:t xml:space="preserve">را از ایشان گرفتیم كه از رویش زیراكس كنیم، ایشان آن را دادند و گفتند كه شما خودتان شخصاً بر زیراكس این نظارت داشته باشید تا وقتى كه تحویل مى‏گیرید. مى‏گفت که ما به میدان شهداء رفتیم و آنجا یك زیراكسى بود و دادیم كه زیراكس كنند، او هم گفت که این اینجا باشد برو دو ساعت دیگر بیا من زیراكس مى‏كنم. گفتم که نه! الآن مى‏خواهم، بالأخره راضى شدم و گفتم که تا من مى‏روم نماز مى‏خوانم و برمى‏گردم، شما این را زیراكس كن و خیلى تأكید کردم كه حواست را جمع كن، مواظب باش، مراقبت كن كه یك وقتى دست كثیفى روى این نیفتد! چون نسخۀ خطى ایشان بود.</w:t>
      </w:r>
    </w:p>
    <w:p>
      <w:pPr/>
      <w:r>
        <w:rPr>
          <w:rtl w:val="0"/>
          <w:lang w:val="fa-IR"/>
        </w:rPr>
        <w:t xml:space="preserve">وقتى نماز خواندیم و برگشتیم كه بگیریم، یک‌دفعه آمد و گفت که ببخشید دیگر این‌طور شد و آن‌طور شد! یك لیوان آب بود و...! نگاه كردیم یك لیوان آب روى دو صفحۀ این ریخته بود و اصلاً به‌طورکلی ازبین رفته بود!</w:t>
      </w:r>
    </w:p>
    <w:p>
      <w:pPr/>
      <w:r>
        <w:rPr>
          <w:rtl w:val="0"/>
          <w:lang w:val="fa-IR"/>
        </w:rPr>
        <w:t xml:space="preserve">آن شخص مى‏گفت که من فقط آرزو مى‏كردم که بمیرم! الآن به آقا چه بگویم؟! مى‏گفت: آن‌قدر حالم بد شد و رنگم زرد شد كه آن شخصى كه زیراكس مى‏كرد مضطرب شد كه چه‌کار كند، مدت‌ها همین‌طور نشستم و فقط در این فکر بودم كه آقا فرمودند که خودت مواظبت كن و...! آنجا فهمیدم که این قضیه را براى این گفته بودند! مى‏گفت که فردایش ما این كتاب را آوردیم به آقا بدهیم؛ گفتم: من كتاب را مى‏دهم خدمتتان ولى فقط آرزوى مرگ مى‏كنم در قضیه‏اى كه اتفاق افتاده است! آقا گفتند که چه شده است؟! گفتم: رفتیم این‌طور شد! فرمودند: نه آقا مسئله‏اى نیست، </w:t>
      </w:r>
      <w:r>
        <w:rPr>
          <w:rStyle w:val="Arabi"/>
          <w:rtl w:val="0"/>
          <w:lang w:val="fa-IR"/>
        </w:rPr>
        <w:t xml:space="preserve">قضاء ما قضاء</w:t>
      </w:r>
      <w:r>
        <w:rPr>
          <w:rtl w:val="0"/>
          <w:lang w:val="fa-IR"/>
        </w:rPr>
        <w:t xml:space="preserve"> و...! و به رویش نیاوردند! الآن آن كتاب دست من است؛ آثار جرم دست من است!! خیلى ایشان مراقب و خیلى دقیق بودند و خیلى كارشان روى نظم و حساب بود.</w:t>
      </w:r>
    </w:p>
    <w:p>
      <w:pPr>
        <w:pStyle w:val="Heading6"/>
      </w:pPr>
      <w:r>
        <w:rPr>
          <w:rtl w:val="0"/>
          <w:lang w:val="fa-IR"/>
        </w:rPr>
        <w:t xml:space="preserve">اشتباه بودن کلام «نظم ما در بى‏نظمى است»</w:t>
      </w:r>
    </w:p>
    <w:p>
      <w:pPr/>
      <w:r>
        <w:rPr>
          <w:rtl w:val="0"/>
          <w:lang w:val="fa-IR"/>
        </w:rPr>
        <w:t xml:space="preserve">این یك مسئله‏اى است كه عجیب است. كلام معروفى است از مرحوم آقای سید ابوالحسن اصفهانى است كه «نظم ما در بى‏نظمى است»! این عجب حرف چرندى است! یعنى چه که نظم در بى‏نظمی است؟! یعنى چه که نظم حوزه در بى‏نظمی است؟! بى‏نظمى یعنى وحشى‏گری! مگر معنا دارد بی‌نظمی نظم بشود؟! این‌طوری جنگل و قانون غابات</w:t>
      </w:r>
      <w:r>
        <w:rPr>
          <w:rStyle w:val="FootnoteReference"/>
        </w:rPr>
        <w:footnoteReference w:id="1"/>
      </w:r>
      <w:r>
        <w:rPr>
          <w:rtl w:val="0"/>
          <w:lang w:val="fa-IR"/>
        </w:rPr>
        <w:t xml:space="preserve"> مى‏شود! نظم ما در بى‏نظمی است یعنى چه؟! مرحوم آقا با این حرف‌ها شدیداً مخالف بودند. قرار بود حوزۀ نجف را درست كنند و اصلاحاتى را انجام دهند. چند نفر پیش مرحوم آقا سید ابوالحسن مى‏روند و ایشان هم قبول مى‏كند، اما بعد آنهایى كه مخالف بودند و منافع خودشان را در این بى‏نظمى‏ها و همان راه و روشی كه خودشان مى‏پسندیدند، می‌دیدند، رأى آقا سید ابوالحسن را دوباره زدند و تغییر دادند! اینها كه [می‌خواستند تغییر ایجاد کنند] بعد مراجعه كردند، دیدند که این اطرافیان رأیشان را عوض كردند! [مرحوم آقا همیشه می‌گفتند که] اى واى از این اطرافیان! خلاصه آنها رفته بودند و گفته بودند: آقا این فلان است، حوزه اگر بخواهد این‌طور بشود ازدست ما بیرون مى‏رود! انگار حالا دست شما دست جبرائیل امین یا حضرت اسرافیل است كه نباید بیرون برود! می‌گفتند که ازدست ما بیرون می‌رود و به‌دست دیگران مى‏افتد! ایشان هم از نظرشان برگشت. بعد كه اینها رفتند، ایشان گفتند كه نظم ما در بى‏نظمى است! بعد دیگر این مانند وحى مُنزَّل معروف شد! همه هم مى‏گویند؛ حالا چون مرحوم آقا سید ابوالحسن گفته پس وحى است! این روایاتى كه از رسول خدا و ائمه علیهم‌السّلام دربارۀ تدبیر و نظم داریم هیچ‌كدام از اینها وحى نیست ولى كلام مرحوم آقا سید ابوالحسن وحى مى‏شود!</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NaghlegholMatn"/>
      </w:pPr>
      <w:r>
        <w:rPr>
          <w:rStyle w:val="Arabi"/>
          <w:rtl w:val="0"/>
          <w:lang w:val="fa-IR"/>
        </w:rPr>
        <w:t xml:space="preserve">فَصلٌ فى الفَرقِ بَینَ الجِنسِ و المادَّةِ و بَینَ النّوعِ و الموُضوعِ.</w:t>
      </w:r>
    </w:p>
    <w:p>
      <w:pPr>
        <w:pStyle w:val="NaghlegholMatn"/>
      </w:pPr>
      <w:r>
        <w:rPr>
          <w:rStyle w:val="Arabi"/>
          <w:rtl w:val="0"/>
          <w:lang w:val="fa-IR"/>
        </w:rPr>
        <w:t xml:space="preserve">إنَّ الماهیَّةَ قَد تُؤخَّذُ بِشَرطِ لا شَیءٍ بِأن یُتَصَوَّرَ مَعناها بِشرطِ أن یَکونَ ذلِک المَعنى وَحدَه بِحَیثُ یُکونُ کُلُ ما یُقارِنُه زائداً عَلیه فَیَکونُ جزءاً لِذلِکَ المَجموعِ مادَةً لَه مُتِقَدِّماً علیهِ فى الوجودینِ.</w:t>
      </w:r>
      <w:r>
        <w:rPr>
          <w:rStyle w:val="FootnoteReference"/>
        </w:rPr>
        <w:footnoteReference w:id="2"/>
      </w:r>
      <w:r>
        <w:rPr>
          <w:rStyle w:val="Arabi"/>
          <w:rtl w:val="0"/>
          <w:lang w:val="fa-IR"/>
        </w:rPr>
        <w:t xml:space="preserve">‏</w:t>
      </w:r>
    </w:p>
    <w:p>
      <w:pPr/>
      <w:r>
        <w:rPr>
          <w:rtl w:val="0"/>
          <w:lang w:val="fa-IR"/>
        </w:rPr>
        <w:t xml:space="preserve">این مطلبى است که قبلاً هم در مباحث منطقى در موردش بحث شده است و اطلاع نسبت به آن‌هم هست.</w:t>
      </w:r>
    </w:p>
    <w:p>
      <w:pPr>
        <w:pStyle w:val="Heading6"/>
      </w:pPr>
      <w:r>
        <w:rPr>
          <w:rtl w:val="0"/>
          <w:lang w:val="fa-IR"/>
        </w:rPr>
        <w:t xml:space="preserve">تعریف ماهیت</w:t>
      </w:r>
    </w:p>
    <w:p>
      <w:pPr/>
      <w:r>
        <w:rPr>
          <w:rtl w:val="0"/>
          <w:lang w:val="fa-IR"/>
        </w:rPr>
        <w:t xml:space="preserve">ماهیت به‌طورکلی به نوع و به جنس و فصل اطلاق مى‏شود و به هركدام از اینها ماهیت اطلاق مى‏شود. ماهیت آن چیزى است كه انسان در تعریفِ حدّىِ یك شی‏ء آن را ذكر مى‏كند. در تعریفِ حدّى انسان حیوانیت و ناطقیت آورده مى‏شود و به‌واسطۀ این، از سایر افراد ممتاز مى‏شود.</w:t>
      </w:r>
    </w:p>
    <w:p>
      <w:pPr>
        <w:pStyle w:val="Heading6"/>
      </w:pPr>
      <w:r>
        <w:rPr>
          <w:rtl w:val="0"/>
          <w:lang w:val="fa-IR"/>
        </w:rPr>
        <w:t xml:space="preserve">اظهار عجز بزرگان از اهل معرفت نسبت به شناخت فصل ممیز انسان</w:t>
      </w:r>
    </w:p>
    <w:p>
      <w:pPr/>
      <w:r>
        <w:rPr>
          <w:rtl w:val="0"/>
          <w:lang w:val="fa-IR"/>
        </w:rPr>
        <w:t xml:space="preserve">البته این یك حقیقت و تعریفى است كه به میزان شناخت عادى، آن تعریف در اینجا مطرح هست ولى اینكه انسان واقعاً از نظر فصلى كه آن ممیز بین این نوع از سایر انواع هست، چه نظر و برداشتى دارد آن یك مسئلۀ بسیار بسیار مهمى است كه بزرگان از اهل معرفت نسبت به آن اظهار عجز كردند و این مطلب را نتوانستند آن‌طور كه بایدوشاید ترسیم و تصویر كنند.</w:t>
      </w:r>
    </w:p>
    <w:p>
      <w:pPr>
        <w:pStyle w:val="Heading6"/>
      </w:pPr>
      <w:r>
        <w:rPr>
          <w:rtl w:val="0"/>
          <w:lang w:val="fa-IR"/>
        </w:rPr>
        <w:t xml:space="preserve">تصور غلط در مورد ناطقیت!</w:t>
      </w:r>
    </w:p>
    <w:p>
      <w:pPr/>
      <w:r>
        <w:rPr>
          <w:rtl w:val="0"/>
          <w:lang w:val="fa-IR"/>
        </w:rPr>
        <w:t xml:space="preserve">تصور دربارۀ ناطقیت تا مدت‌ها پیش این بود كه همین معناى نطق ظاهرى است و انسان این مسئله را دارد و سایر افراد ندارند. بعداً متوجه شدند كه بسیارى از افراد از انواع هم نطق دارند؛ من‌باب‌مثال خود بقر نطق دارد، كلب نطق دارد، جمل نطق دارد و نطق‌های اینها همه در محدودۀ حدّ وجودى خودشان هست و همان‌طوری‌كه افراد براى ارتباط بین خود نیاز به نطق دارند حیوانات هم براى ارتباط با خود نطق خاصى را دارند.</w:t>
      </w:r>
    </w:p>
    <w:p>
      <w:pPr>
        <w:pStyle w:val="Heading6"/>
      </w:pPr>
      <w:r>
        <w:rPr>
          <w:rtl w:val="0"/>
          <w:lang w:val="fa-IR"/>
        </w:rPr>
        <w:t xml:space="preserve">شعور و ادراك حیوانات در محدودۀ خودشان</w:t>
      </w:r>
    </w:p>
    <w:p>
      <w:pPr/>
      <w:r>
        <w:rPr>
          <w:rtl w:val="0"/>
          <w:lang w:val="fa-IR"/>
        </w:rPr>
        <w:t xml:space="preserve">من در یك جایى مى‏خواندم كه این حیوانات حتى براى هركدام از بچه‏هاى خود یك اسم خاص مى‏گذارند كه با آن صداى خاص، آن بچه متوجه مى‏شود و به طرفش مى‏آید، این‌طور نیست كه آنها بدون فهم در محدودۀ ماهوى خودشان </w:t>
      </w:r>
      <w:r>
        <w:rPr>
          <w:rStyle w:val="Arabi"/>
          <w:rtl w:val="0"/>
          <w:lang w:val="fa-IR"/>
        </w:rPr>
        <w:t xml:space="preserve">صمٌ بکمٌ</w:t>
      </w:r>
      <w:r>
        <w:rPr>
          <w:rtl w:val="0"/>
          <w:lang w:val="fa-IR"/>
        </w:rPr>
        <w:t xml:space="preserve"> باشند و هیچ شعور و ادراكى نداشته باشند.</w:t>
      </w:r>
    </w:p>
    <w:p>
      <w:pPr>
        <w:pStyle w:val="Heading6"/>
      </w:pPr>
      <w:r>
        <w:rPr>
          <w:rtl w:val="0"/>
          <w:lang w:val="fa-IR"/>
        </w:rPr>
        <w:t xml:space="preserve">اتصال مثال متصل حیوانات با مثال منفصل</w:t>
      </w:r>
    </w:p>
    <w:p>
      <w:pPr/>
      <w:r>
        <w:rPr>
          <w:rtl w:val="0"/>
          <w:lang w:val="fa-IR"/>
        </w:rPr>
        <w:t xml:space="preserve">بعد اسم این را «فهم» گذاشتند. گفتند که خب حیوانات هم فهم دارند و آنها هم خیلى از مطالب را مى‏فهمند حتى بسیارى از مسائل را كه آنها مى‏فهمند ما نمى‏فهمیم؛ به‌خاطر ارتباط بین مثال متصل آنها با مثال منفصل، از مسائلى كه در مثال منفصل قرار است انجام بشود و وجود دارد آنها مطلع هستند و هنوز ما اطلاعى نداریم لذا نسبت به حوادث آینده عكس‏العمل نشان مى‏دهند.</w:t>
      </w:r>
    </w:p>
    <w:p>
      <w:pPr/>
      <w:r>
        <w:rPr>
          <w:rtl w:val="0"/>
          <w:lang w:val="fa-IR"/>
        </w:rPr>
        <w:t xml:space="preserve">از نظر ظاهر؛ نطق ظاهرى هم براى خیلى‏ها هست، الآن خیلى از حیوانات مثل طوطى نطق دارند یا بعضى از انواع پرندگان نطق دارند. ما یك وقتى یك جایى بودیم یك پرنده‏اى آنجا بود سیاه بود و منقار قرمزى هم داشت ـ اسمش مینا بود ـ این كاملاً صحبت مى‏كرد یعنى طورى صحبت مى‏كرد كه ما تصور كردیم یك نفر در آن گوشه هست! حالا طوطى حرف مى‏زند و من هم صدایش را شنیده‌ام ولى صدایش با انسان تفاوت مى‏كند ولى این طبق همان چه یاد گرفته بود [ادا می‌کرد]؛ هم كلام را یاد گرفته بود و هم كیفیت صوت را یاد گرفته بود یعنى هردو را ضبط كرده بود و به اشكال مختلف بیان می‌کرد؛ مثلاً یک‌دفعه احساس مى‏كردیم یك مرد بزرگ دارد حرف مى‏زند، یك وقت احساس مى‏كردیم یك بچه است یعنى به دو نوع که یاد گرفته بود به همان شكل مثل ضبط‌صوت پس مى‏داد و در مواقع مختلف عكس‏العمل‏هاى مطابق با همان را نشان مى‏داد! مثلاً برایش آب مى‏بردند مى‏گفت: متشكرم؛ یا الآن دیگر آب نمى‏خواهم یا مثلاً برایم غذا بیاورید نان بیاورید؛ اگر غذا می‌بردند مى‏گفت که آب بیاوردید، [و اگر آب نبود می‌گفت] این چیست؟! این آب نیست، من آب مى‏خواهم! یعنى تشخیص مى‏داد و این‌طور نبود كه من‌باب‌مثال آب و نان برایش یكى باشد بلكه به‌واسطۀ آموزش یاد گرفته بود. خب این الآن نطق دارد و مثل آدم دارد حرف مى‏زند!</w:t>
      </w:r>
    </w:p>
    <w:p>
      <w:pPr>
        <w:pStyle w:val="Heading6"/>
      </w:pPr>
      <w:r>
        <w:rPr>
          <w:rtl w:val="0"/>
          <w:lang w:val="fa-IR"/>
        </w:rPr>
        <w:t xml:space="preserve">عدم صحت به‌کار بردن نطق به‌عنوان فصل ممیز انسان</w:t>
      </w:r>
    </w:p>
    <w:p>
      <w:pPr/>
      <w:r>
        <w:rPr>
          <w:rtl w:val="0"/>
          <w:lang w:val="fa-IR"/>
        </w:rPr>
        <w:t xml:space="preserve">این مسئله باعث شد كه در مسئلۀ نطق بگویند: منظور همان ادراك و شعور آدمى است كه آن ادراك با بقیه متفاوت است در مورد حیوانات هم این ادراك را انسان احساس مى‏كند و خیلى از حیوانات ادراكشان با ادراك انسان متفاوت است. منظور از این نطق و ناطق چیست؟!</w:t>
      </w:r>
    </w:p>
    <w:p>
      <w:pPr/>
      <w:r>
        <w:rPr>
          <w:rtl w:val="0"/>
          <w:lang w:val="fa-IR"/>
        </w:rPr>
        <w:t xml:space="preserve">من خیال مى‏كنم فصلى در اینجا به‌عنوان نطق براى انسان نیست چون نطق را همه دارند و شعور را همه دارند ولكن مراتب شعور و ادراك متفاوت است حالا در یكى كمتر است و [در یکی بیشتر است]؛ در خود آدم‌ها هم متفاوت هست آدم‌هاى كم شعور و بى‏شعور الحمدلله كم نیستند، افراد فاقد شعور و حتى فاقد ادراك‌هاى اولیّه هم وجود دارند و منظور از این، قوۀ عاقله است كه باید ما آن را میزان قرار بدهیم كه آن قوۀ عاقله در این انسان هست و در بقیه نیست. در قوۀ عاقله كه صحبت كردند، گفتند که ممكن است قوۀ عاقله در سایر اشیاء هم باشد؛ من‌باب‌مثال ملائكه فعلیت در عقل دارند درحالی‌که فصل ممیز آنها با ما مختلف است، همین‌طور ارواح دیگر و نفوس دیگر؛ نفوس طیبۀ غیر از ملائكه ـ مجرده یا غیر مجرده ـ داراى قوۀ عاقله هستند. البته میزان فعلیت عقل در آنها ممكن است فرق بكند ولى در اصل تعقل، مابه‏الاِشتراك وجود دارد.</w:t>
      </w:r>
    </w:p>
    <w:p>
      <w:pPr>
        <w:pStyle w:val="Heading6"/>
      </w:pPr>
      <w:r>
        <w:rPr>
          <w:rtl w:val="0"/>
          <w:lang w:val="fa-IR"/>
        </w:rPr>
        <w:t xml:space="preserve">مقام خلافة اللهى، فصل حقیقی آدمی</w:t>
      </w:r>
    </w:p>
    <w:p>
      <w:pPr/>
      <w:r>
        <w:rPr>
          <w:rtl w:val="0"/>
          <w:lang w:val="fa-IR"/>
        </w:rPr>
        <w:t xml:space="preserve">بنابراین به‌نظر مى‏رسد كلام و مسئله همان‌طوری است که خود مرحوم شیخ فرمودند؛ فصل واقعى اشیاء را فقط علاّم‏الغیوب مى‏داند و كسى نمى‏تواند به آن فصل حقیقى پى ببرد مگر از متمایزات آن نوع با سایر انواع یك فصلى را انسان انتزاع بكند كه آن فصل در حد تشخیص خودش باشد. اگر بخواهیم آن فصل آدمى را ترسیم كنیم باید بگوییم كه همان مقام خلافة اللهى است كه انسان را از بقیۀ انواع جدا مى‏كند؛ گرچه در مشتركات انسان با سایر انواع از نقطه‏نظر وجود، از نقطه‏نظر تشخّص و تعیّن یا از نظر انواع جنسیه مانند جنس قریب مثل رشد، نمو، استمرار، بقاء نفس و امثال‌ذلک ممكن است اشتراك داشته باشد ولى آن جنبۀ خلافة اللهى كه اجتماع اسماء و صفات کلیه به‌نحو جامعیت است كه مقتضاى</w:t>
      </w:r>
      <w:r>
        <w:rPr>
          <w:rtl w:val="0"/>
          <w:lang w:val="fa-IR"/>
        </w:rPr>
        <w:t xml:space="preserve"> ﴿وَنَفَخۡتُ فِيهِ مِن رُّوحِي</w:t>
      </w:r>
      <w:r>
        <w:rPr>
          <w:rtl w:val="0"/>
          <w:lang w:val="fa-IR"/>
        </w:rPr>
        <w:t xml:space="preserve">﴾</w:t>
      </w:r>
      <w:r>
        <w:rPr>
          <w:rtl w:val="0"/>
          <w:lang w:val="fa-IR"/>
        </w:rPr>
        <w:t xml:space="preserve"> است، آن فصل ممیز براى انسان است و آن مقامى است بالاتر از عقل و تدبیر؛ حتى از عقل بالاتر است، از عقل منفصل حتى بالاتر است.</w:t>
      </w:r>
    </w:p>
    <w:p>
      <w:pPr/>
      <w:r>
        <w:rPr>
          <w:rtl w:val="0"/>
          <w:lang w:val="fa-IR"/>
        </w:rPr>
        <w:t xml:space="preserve">لذا این حقیقت عقلانى كه بسیارى از حکماء مثل حاجی سبزواری</w:t>
      </w:r>
      <w:r>
        <w:rPr>
          <w:rStyle w:val="FootnoteReference"/>
        </w:rPr>
        <w:footnoteReference w:id="3"/>
      </w:r>
      <w:r>
        <w:rPr>
          <w:rtl w:val="0"/>
          <w:lang w:val="fa-IR"/>
        </w:rPr>
        <w:t xml:space="preserve"> و امثال‌ذلک به‌عنوان فصل ممیز براى انسان درنظر گرفتند، مى‏توانیم به این فصل خدشه كنیم و نسبت به او به یك مسئلۀ بالاترى برسیم. البته محى الدّین در </w:t>
      </w:r>
      <w:r>
        <w:rPr>
          <w:rtl w:val="0"/>
          <w:lang w:val="fa-IR"/>
        </w:rPr>
        <w:t xml:space="preserve">فصوص</w:t>
      </w:r>
      <w:r>
        <w:rPr>
          <w:rtl w:val="0"/>
          <w:lang w:val="fa-IR"/>
        </w:rPr>
        <w:t xml:space="preserve"> و همین‌طور در </w:t>
      </w:r>
      <w:r>
        <w:rPr>
          <w:rtl w:val="0"/>
          <w:lang w:val="fa-IR"/>
        </w:rPr>
        <w:t xml:space="preserve">فتوحات</w:t>
      </w:r>
      <w:r>
        <w:rPr>
          <w:rtl w:val="0"/>
          <w:lang w:val="fa-IR"/>
        </w:rPr>
        <w:t xml:space="preserve"> به این مسئله اشاره دارد كه مقام انسان از مقام عقل بالاتر است و ما نمى‏توانیم عقل را مایز بین انسان و سایر انواع بدانیم. البته اشاراتى دارد که تصریحش را من به‌خصوص ندیدم که ایشان فصل جدایی برای این مطلب داشته باشند اما ایشان در باب اشارات مسئله‌ای در اینجا دارد و در ارتقاء نفس ولىّ از مرتبۀ عقل كه مرتبۀ ملائكه است، در آنجا این مطلب را ذكر مى‏كند كه چطور نفس ولىّ حتى در مرتبه‏‌ای است كه در آن مرتبه تدبیر نیست و در آن مرتبه مِیز نیست بلکه آن مرتبه، مرتبۀ لابشرطیت است كه در لابشرطیت عقل و فصل بین مسائل دیگر در آنجا راه ندارد.</w:t>
      </w:r>
      <w:r>
        <w:rPr>
          <w:rStyle w:val="FootnoteReference"/>
        </w:rPr>
        <w:footnoteReference w:id="4"/>
      </w:r>
    </w:p>
    <w:p>
      <w:pPr>
        <w:pStyle w:val="Heading6"/>
      </w:pPr>
      <w:r>
        <w:rPr>
          <w:rtl w:val="0"/>
          <w:lang w:val="fa-IR"/>
        </w:rPr>
        <w:t xml:space="preserve">توضیحی در باب مرتبۀ تجلی ذات</w:t>
      </w:r>
    </w:p>
    <w:p>
      <w:pPr/>
      <w:r>
        <w:rPr>
          <w:rtl w:val="0"/>
          <w:lang w:val="fa-IR"/>
        </w:rPr>
        <w:t xml:space="preserve">آن مرتبۀ عقل و تدبیر و تقسیم به حقایق جزئیه و حقایق کلیه در مرتبۀ ظهور خارجى است و وقتى كه در جایى ظهور خارجى نباشد‏ </w:t>
      </w:r>
      <w:r>
        <w:rPr>
          <w:rtl w:val="0"/>
          <w:lang w:val="fa-IR"/>
        </w:rPr>
        <w:t xml:space="preserve">﴿فَكَانَ قَابَ قَوۡسَيۡنِ أَوۡ أَدۡنَىٰ﴾</w:t>
      </w:r>
      <w:r>
        <w:rPr>
          <w:rtl w:val="0"/>
          <w:lang w:val="fa-IR"/>
        </w:rPr>
        <w:t xml:space="preserve"> و‏ </w:t>
      </w:r>
      <w:r>
        <w:rPr>
          <w:rtl w:val="0"/>
          <w:lang w:val="fa-IR"/>
        </w:rPr>
        <w:t xml:space="preserve">﴿مَا كَذَبَ ٱلۡفُؤَادُ مَا رَأَىٰٓ﴾</w:t>
      </w:r>
      <w:r>
        <w:rPr>
          <w:rStyle w:val="FootnoteReference"/>
        </w:rPr>
        <w:footnoteReference w:id="5"/>
      </w:r>
      <w:r>
        <w:rPr>
          <w:rtl w:val="0"/>
          <w:lang w:val="fa-IR"/>
        </w:rPr>
        <w:t xml:space="preserve"> باشد در آن مرتبه دیگر مقام كلیت و جزئیت معنا ندارد.</w:t>
      </w:r>
    </w:p>
    <w:p>
      <w:pPr>
        <w:pStyle w:val="Heading6"/>
      </w:pPr>
      <w:r>
        <w:rPr>
          <w:rtl w:val="0"/>
          <w:lang w:val="fa-IR"/>
        </w:rPr>
        <w:t xml:space="preserve">تعریف مقام اطلاقی و تجلّی ذات</w:t>
      </w:r>
    </w:p>
    <w:p>
      <w:pPr/>
      <w:r>
        <w:rPr>
          <w:rtl w:val="0"/>
          <w:lang w:val="fa-IR"/>
        </w:rPr>
        <w:t xml:space="preserve">آن مقام را مقام اطلاقى مى‏گویند كه در مقام اطلاقى اصلاً هویتِ خارجىِ تعیّنى در آنجا وجود ندارد و فقط بنده هست و پروردگار خودش كه دیگر آن ظهور اسماء و صفات در آنجا به خود ذات برمى‏گردد كه بزرگان از این مرتبه به مرتبۀ تجلّى ذات تعبیر كردند</w:t>
      </w:r>
      <w:r>
        <w:rPr>
          <w:rtl w:val="0"/>
          <w:lang w:val="fa-IR"/>
        </w:rPr>
        <w:t xml:space="preserve">.</w:t>
      </w:r>
    </w:p>
    <w:p>
      <w:pPr>
        <w:pStyle w:val="SoalMatn"/>
      </w:pPr>
      <w:r>
        <w:rPr>
          <w:rtl w:val="0"/>
          <w:lang w:val="fa-IR"/>
        </w:rPr>
        <w:t xml:space="preserve">تلمیذ</w:t>
      </w:r>
      <w:r>
        <w:rPr>
          <w:rtl w:val="0"/>
          <w:lang w:val="fa-IR"/>
        </w:rPr>
        <w:t xml:space="preserve">: </w:t>
      </w:r>
      <w:r>
        <w:rPr>
          <w:rStyle w:val="RevayatArabi"/>
          <w:rtl w:val="0"/>
          <w:lang w:val="fa-IR"/>
        </w:rPr>
        <w:t xml:space="preserve">«أول ما خلق الله العقل»</w:t>
      </w:r>
      <w:r>
        <w:rPr>
          <w:rtl w:val="0"/>
          <w:lang w:val="fa-IR"/>
        </w:rPr>
        <w:t xml:space="preserve">،</w:t>
      </w:r>
      <w:r>
        <w:rPr>
          <w:rStyle w:val="RevayatArabi"/>
          <w:rtl w:val="0"/>
          <w:lang w:val="fa-IR"/>
        </w:rPr>
        <w:t xml:space="preserve"> </w:t>
      </w:r>
      <w:r>
        <w:rPr>
          <w:rtl w:val="0"/>
          <w:lang w:val="fa-IR"/>
        </w:rPr>
        <w:t xml:space="preserve">است؟</w:t>
      </w:r>
    </w:p>
    <w:p>
      <w:pPr/>
      <w:r>
        <w:rPr>
          <w:rtl w:val="0"/>
          <w:lang w:val="fa-IR"/>
        </w:rPr>
        <w:t xml:space="preserve">استاد</w:t>
      </w:r>
      <w:r>
        <w:rPr>
          <w:rtl w:val="0"/>
          <w:lang w:val="fa-IR"/>
        </w:rPr>
        <w:t xml:space="preserve">: آن مقام تدبیر است دیگر؛ مقام ظهور خارج است.</w:t>
      </w:r>
    </w:p>
    <w:p>
      <w:pPr>
        <w:pStyle w:val="SoalMatn"/>
      </w:pPr>
      <w:r>
        <w:rPr>
          <w:rtl w:val="0"/>
          <w:lang w:val="fa-IR"/>
        </w:rPr>
        <w:t xml:space="preserve">تلمیذ</w:t>
      </w:r>
      <w:r>
        <w:rPr>
          <w:rStyle w:val="RevayatArabi"/>
          <w:rtl w:val="0"/>
          <w:lang w:val="fa-IR"/>
        </w:rPr>
        <w:t xml:space="preserve">: «أول ما خلق الله العقل»</w:t>
      </w:r>
      <w:r>
        <w:rPr>
          <w:rtl w:val="0"/>
          <w:lang w:val="fa-IR"/>
        </w:rPr>
        <w:t xml:space="preserve">،</w:t>
      </w:r>
      <w:r>
        <w:rPr>
          <w:rStyle w:val="RevayatArabi"/>
          <w:rtl w:val="0"/>
          <w:lang w:val="fa-IR"/>
        </w:rPr>
        <w:t xml:space="preserve"> «اوّل شیءٍ خلق اللهُ تعالى نورُ نَبیِّک یا جابِرُ»</w:t>
      </w:r>
      <w:r>
        <w:rPr>
          <w:rtl w:val="0"/>
          <w:lang w:val="fa-IR"/>
        </w:rPr>
        <w:t xml:space="preserve">!</w:t>
      </w:r>
      <w:r>
        <w:rPr>
          <w:rStyle w:val="FootnoteReference"/>
        </w:rPr>
        <w:footnoteReference w:id="6"/>
      </w:r>
      <w:r>
        <w:rPr>
          <w:rtl w:val="0"/>
          <w:lang w:val="fa-IR"/>
        </w:rPr>
        <w:t xml:space="preserve"> اگر اینها مقام واحدیت است دیگر مقام عقل از واحدیت بالاتر است؟</w:t>
      </w:r>
    </w:p>
    <w:p>
      <w:pPr>
        <w:pStyle w:val="Heading6"/>
      </w:pPr>
      <w:r>
        <w:rPr>
          <w:rtl w:val="0"/>
          <w:lang w:val="fa-IR"/>
        </w:rPr>
        <w:t xml:space="preserve">توضیحی در باب مقام واحدیت و أحدیت</w:t>
      </w:r>
    </w:p>
    <w:p>
      <w:pPr/>
      <w:r>
        <w:rPr>
          <w:rtl w:val="0"/>
          <w:lang w:val="fa-IR"/>
        </w:rPr>
        <w:t xml:space="preserve">استاد</w:t>
      </w:r>
      <w:r>
        <w:rPr>
          <w:rtl w:val="0"/>
          <w:lang w:val="fa-IR"/>
        </w:rPr>
        <w:t xml:space="preserve">: نه حتى مقام واحدیت ]هم[ نیست، انسان از واحدیت هم بالاتر است ]در[ مقام واحدیت مقام ظهور در تعیّنات است در مقام واحدیت، مقامِ تفصیل است؛ تفصیل بین حقائق مجرده و غیر مجرده است؛ آن مقام، مقام واحدیت است. ما دو مقام كه بیشتر نداریم؛ یكى مقام أحدیت است و همان‌طوری‌كه عرض كردم وصف انتزاعى است نه وصف اعتبارى، مقام دوم مقام واحدیت است كه آن مقام واحدیت لازمۀ تجلّى است؛ در تجلّى اسماء و صفات به تعیّنات جزئیه آن مقام واحدیت در آنجا ظهور پیدا مى‏كند. در مسئلۀ واحدیت، اسماء و صفات قبلاً تحقق خارجى داشتند ولی ظهور نداشتند. اسم علیم همراه با ذات وجود داشته است؛ وجود خارجى داشته است ولى هنوز به صور جزئیه درنیامده است. ما كه الآن در اینجا صحبت مى‏كنیم تمام ما مجالى و مظاهر و تعیّنات اسم علیم هستیم و اگر آن اسم علیم نبود من یك كلام نمى‏توانستم صحبت كنم و اگر اسم سمیع نبود شما یك كلام نمى‏توانستید بشنوید. پس این صحبت كردن من و شنیدن شما همه ناشى از اسم علیم و سمیع است ـ البته در سمیع، علیم هم وجود دارد ـ هردو ناشى از اسم علیم و سمیع است كه این علیم و سمیع الآن در اینجا نزول پیدا كرده، مجلىٰ پیدا كرده، مظهَر پیدا كرده که به‌واسطۀ آن مظهر در خارج ما این ظهورات را مشاهده مى‏كنیم. اگر این مجلىٰ و مظهَر نبود از كجا مى‏فهمیدیم خدا علیم است؟! از كجا مى‏فهمیدیم سمیع است؟! از كجا مى‏فهمیدیم قاهر است؟! از كجا مى‏فهمیدیم قدیر است؟! تمام اینها به‌خاطر ظهور اوست لذا شمس مغربى در اینجا مى‏فرماید:</w:t>
      </w:r>
    </w:p>
    <w:p>
      <w:pPr>
        <w:pStyle w:val="She'rMatn"/>
      </w:pPr>
      <w:r>
        <w:rPr>
          <w:rtl w:val="0"/>
          <w:lang w:val="fa-IR"/>
        </w:rPr>
        <w:t xml:space="preserve">ظهور تو به من است و وجود من از تو *** [</w:t>
      </w:r>
      <w:r>
        <w:rPr>
          <w:rStyle w:val="Arabi"/>
          <w:rtl w:val="0"/>
          <w:lang w:val="fa-IR"/>
        </w:rPr>
        <w:t xml:space="preserve">و لَستُ تُظهَرُ لولای لم اکو لولاک</w:t>
      </w:r>
      <w:r>
        <w:rPr>
          <w:rtl w:val="0"/>
          <w:lang w:val="fa-IR"/>
        </w:rPr>
        <w:t xml:space="preserve">]</w:t>
      </w:r>
      <w:r>
        <w:rPr>
          <w:rStyle w:val="FootnoteReference"/>
        </w:rPr>
        <w:footnoteReference w:id="7"/>
      </w:r>
    </w:p>
    <w:p>
      <w:pPr>
        <w:pStyle w:val="Heading6"/>
      </w:pPr>
      <w:r>
        <w:rPr>
          <w:rtl w:val="0"/>
          <w:lang w:val="fa-IR"/>
        </w:rPr>
        <w:t xml:space="preserve">معنای شعر «ظهور تو به من است و وجود من از تو»</w:t>
      </w:r>
    </w:p>
    <w:p>
      <w:pPr/>
      <w:r>
        <w:rPr>
          <w:rtl w:val="0"/>
          <w:lang w:val="fa-IR"/>
        </w:rPr>
        <w:t xml:space="preserve">یعنى وجود من مستند به وجود توست ولى ظهور تو به‌واسطۀ من است؛ اگر من نبودم تو در چه مى‏خواستى ظهور پیدا كنی؟! پس همان‌طوری‌كه براى وجودِ ما، احتیاج به افاضۀ از اوست همین‌طور ضرورت دارد ظهور او به وجود ما! یعنى دو طرف در اینجا براى هم ضرورت دارند: «ضرورت وجود او براى وجود ما» و «ضرورت وجود ما براى ظهور او»؛ اگر ما وجود نداشتیم او چطورى ظاهر مى‏شد؟! بالأخره یا باید در شكل انسان ظاهر بشود یا در شكل پرى، مَلَك، جماد، حیوان، سایر مخلوقات و مراتب عقول، مراتب مجرده مانند مثال و ملكوت، تمام این ظهورات فرق نمى‏كنند. «به من است» منظور جنبۀ خارجى نیست بلکه منظور جنبۀ خلافة اللهى است.</w:t>
      </w:r>
    </w:p>
    <w:p>
      <w:pPr>
        <w:pStyle w:val="Heading6"/>
      </w:pPr>
      <w:r>
        <w:rPr>
          <w:rtl w:val="0"/>
          <w:lang w:val="fa-IR"/>
        </w:rPr>
        <w:t xml:space="preserve">انسان مجلیٰ و ظهور اتمّ پروردگار و لایق مقام خلافة ‏اللهى</w:t>
      </w:r>
    </w:p>
    <w:p>
      <w:pPr/>
      <w:r>
        <w:rPr>
          <w:rtl w:val="0"/>
          <w:lang w:val="fa-IR"/>
        </w:rPr>
        <w:t xml:space="preserve">بعضى‏ها این شعر را این‌طور معنا كردند که بالأخره خداى متعال در مرتبۀ ظهور احتیاج به یك ظهورى دارد حالا هركسى مى‏خواهد باشد؛ این كه شاعر مى‏گوید: «من»، سمبل مسئله است نه‌اینكه منظور شخصى باشد! بلکه ایشان در اینجا منظورش این است كه منى كه جامع صفات و اسماء كلیۀ تو هستم، تو باید در من تجلّى كنى تااینكه ظهور پیدا كنى! والاّ اگر بخواهى در شجر و در مدر و در غیر اینها ظهور پیدا كنى، این ظهور، ظهور تام نیست. آن مجلاى اتمّ و ظهور اتمّ باید در انسان باشد و او لیاقت مقام خلافة ‏اللهى دارد. پس اگر قرار باشد كه ذات بارى بتواند ظهور اتمّ داشته باشد این تجلّى أعظم او باید در وجود رسول الله صلّی الله علیه و آله و سلّم باشد. لذا او ظهور پروردگار مى‏شود.</w:t>
      </w:r>
    </w:p>
    <w:p>
      <w:pPr/>
      <w:r>
        <w:rPr>
          <w:rtl w:val="0"/>
          <w:lang w:val="fa-IR"/>
        </w:rPr>
        <w:t xml:space="preserve">بنابراین آیا حضور و وجود ما در آن مرتبه‌ای که اسماء و صفات وجود داشتند شرط است؟! شرط نیست؛ همان‌طوری‌كه در نفس ذات پروردگار وجود ما شرط نیست، شرط وجود ما، سبق رُتبى و عِلّی ذاتِ پروردگار است ولى شرط وجود خود ذات پروردگار تجلّى و ظهور نیست؛ حالا ما باشیم یا نباشیم ذات‏ پروردگار به جاى خودش هست! همین‌طور اسماء و صفات هم به جاى خودشان هستند؛ یعنى اسماء و صفات پروردگار حقایقى هستند كه لازمۀ صرف‏الوجود هستند و </w:t>
      </w:r>
      <w:r>
        <w:rPr>
          <w:rStyle w:val="Arabi"/>
          <w:rtl w:val="0"/>
          <w:lang w:val="fa-IR"/>
        </w:rPr>
        <w:t xml:space="preserve">لا تَنفَکُّ عنه طَرفَةُ عینٍ أبدا؛ لا أبداً و لا أزلًا</w:t>
      </w:r>
      <w:r>
        <w:rPr>
          <w:rtl w:val="0"/>
          <w:lang w:val="fa-IR"/>
        </w:rPr>
        <w:t xml:space="preserve">.</w:t>
      </w:r>
    </w:p>
    <w:p>
      <w:pPr>
        <w:pStyle w:val="Heading6"/>
      </w:pPr>
      <w:r>
        <w:rPr>
          <w:rtl w:val="0"/>
          <w:lang w:val="fa-IR"/>
        </w:rPr>
        <w:t xml:space="preserve">سبق علّى ذات بر مقام واحدیت</w:t>
      </w:r>
    </w:p>
    <w:p>
      <w:pPr/>
      <w:r>
        <w:rPr>
          <w:rtl w:val="0"/>
          <w:lang w:val="fa-IR"/>
        </w:rPr>
        <w:t xml:space="preserve">پس این ذات همراه با اسماء و صفات، سبق علّى بر مقام واحدیت دارد. حالا مقام واحدیت مى‏شود مقام اراده براى تنزیل یا انزالِ آن اسماء و صفات کلیه در مظاهر جزئیه؛ این اراده مى‏شود و آن عقل می‌شود؛ حالا اسمش را عقل بگذاریم یا </w:t>
      </w:r>
      <w:r>
        <w:rPr>
          <w:rStyle w:val="RevayatArabi"/>
          <w:rtl w:val="0"/>
          <w:lang w:val="fa-IR"/>
        </w:rPr>
        <w:t xml:space="preserve">«نور نَبیِّکَ یا جابر</w:t>
      </w:r>
      <w:r>
        <w:rPr>
          <w:rtl/>
          <w:lang w:val="fa-IR"/>
        </w:rPr>
        <w:t xml:space="preserve">» بگذاریم یا اسمش را لوح بگذاریم یا قلم بگذاریم و امثال‌ذلک [فرقی ندارد].</w:t>
      </w:r>
    </w:p>
    <w:p>
      <w:pPr/>
      <w:r>
        <w:rPr>
          <w:rtl w:val="0"/>
          <w:lang w:val="fa-IR"/>
        </w:rPr>
        <w:t xml:space="preserve">لذا این مرتبۀ اراده براى تحقق اسماء و صفات، این مراتب جزئیه، مرتبه‏اى متأخّر از همان ﴿</w:t>
      </w:r>
      <w:r>
        <w:rPr>
          <w:rtl w:val="0"/>
          <w:lang w:val="fa-IR"/>
        </w:rPr>
        <w:t xml:space="preserve">وَنَفَخۡتُ فِيهِ مِن رُّوحِي</w:t>
      </w:r>
      <w:r>
        <w:rPr>
          <w:rtl w:val="0"/>
          <w:lang w:val="fa-IR"/>
        </w:rPr>
        <w:t xml:space="preserve">﴾ است كه آن ﴿</w:t>
      </w:r>
      <w:r>
        <w:rPr>
          <w:rtl w:val="0"/>
          <w:lang w:val="fa-IR"/>
        </w:rPr>
        <w:t xml:space="preserve">وَنَفَخۡتُ فِيهِ مِن رُّوحِي﴾</w:t>
      </w:r>
      <w:r>
        <w:rPr>
          <w:rtl w:val="0"/>
          <w:lang w:val="fa-IR"/>
        </w:rPr>
        <w:t xml:space="preserve"> هنوز به مرتبۀ صورت خارجیۀ جزئیه درنیامده است بلكه بعد از اینكه نفخ شد و آن روح در آنجا تحقق پیدا كرد حالا آن روح به مقتضاى مقام واحدیت تشكّل پیدا مى‏كند یعنی بعدش تشكّل پیدا مى‏كند. حالا این روح همراه با علم، علم به خود مى‏گیرد؛ همراه با قدرت، قدرت به خود مى‏گیرد؛ همراه با اسم مثلاً لطیف، لطف به خود مى‏گیرد؛ همراه با اسم قاهر آن مراتب جلالیه در او منعكس مى‏شود.</w:t>
      </w:r>
    </w:p>
    <w:p>
      <w:pPr>
        <w:pStyle w:val="Heading6"/>
      </w:pPr>
      <w:r>
        <w:rPr>
          <w:rtl w:val="0"/>
          <w:lang w:val="fa-IR"/>
        </w:rPr>
        <w:t xml:space="preserve">منظور از «</w:t>
      </w:r>
      <w:r>
        <w:rPr>
          <w:rStyle w:val="Arabi"/>
          <w:rtl w:val="0"/>
          <w:lang w:val="fa-IR"/>
        </w:rPr>
        <w:t xml:space="preserve">نُقطَةُ الوَحدَةِ بَینَ قَوسَىِ الأحَدیَّةِ و الواحِدیَّة</w:t>
      </w:r>
      <w:r>
        <w:rPr>
          <w:rtl w:val="0"/>
          <w:lang w:val="fa-IR"/>
        </w:rPr>
        <w:t xml:space="preserve">»</w:t>
      </w:r>
    </w:p>
    <w:p>
      <w:pPr/>
      <w:r>
        <w:rPr>
          <w:rtl w:val="0"/>
          <w:lang w:val="fa-IR"/>
        </w:rPr>
        <w:t xml:space="preserve">در این قضیه است كه مى‏فرمایند: </w:t>
      </w:r>
      <w:r>
        <w:rPr>
          <w:rStyle w:val="Arabi"/>
          <w:rtl w:val="0"/>
          <w:lang w:val="fa-IR"/>
        </w:rPr>
        <w:t xml:space="preserve">«نُقطَةُ الوَحدَةِ بَینَ قَوسَىِ الأحَدیَّةِ و الواحِدیَّة</w:t>
      </w:r>
      <w:r>
        <w:rPr>
          <w:rtl w:val="0"/>
          <w:lang w:val="fa-IR"/>
        </w:rPr>
        <w:t xml:space="preserve">»</w:t>
      </w:r>
      <w:r>
        <w:rPr>
          <w:rStyle w:val="FootnoteReference"/>
        </w:rPr>
        <w:footnoteReference w:id="8"/>
      </w:r>
      <w:r>
        <w:rPr>
          <w:rtl w:val="0"/>
          <w:lang w:val="fa-IR"/>
        </w:rPr>
        <w:t xml:space="preserve"> أحدیت و واحدیت داریم ]که[ بین أحدیت و واحدیت همان تجلّى ذات است بدون حد خوردن به علم؛ تجلّى ذات است بدون اینكه آن تجلّى محدود به علم بشود. محدود به علم شدنش برای ماست ما الآن علوممان محدود است، حتى بالاتر از اینها هم محدود است. تجلّى ذات به قدرت در تعیّنات جزئیه مربوط به ما است؛ من الآن قدرت دارم كه این كتاب را از اینجا بردارم شما قدرت دارید كه پنجاه‌تا كتاب را بر‏دارید فلان شخص قدرت دارد كه صد كتاب را بر‏دارد. این قدرت جزئیه مربوط به این جزئیات و مظاهر خارجیه است. مقام «</w:t>
      </w:r>
      <w:r>
        <w:rPr>
          <w:rStyle w:val="RevayatArabi"/>
          <w:rtl w:val="0"/>
          <w:lang w:val="fa-IR"/>
        </w:rPr>
        <w:t xml:space="preserve">إنّی أبیتُ عِندَ رَبِّى یُطعِمُنى و یَسقینِى</w:t>
      </w:r>
      <w:r>
        <w:rPr>
          <w:rtl w:val="0"/>
          <w:lang w:val="fa-IR"/>
        </w:rPr>
        <w:t xml:space="preserve">‏»</w:t>
      </w:r>
      <w:r>
        <w:rPr>
          <w:rStyle w:val="FootnoteReference"/>
        </w:rPr>
        <w:footnoteReference w:id="9"/>
      </w:r>
      <w:r>
        <w:rPr>
          <w:rtl w:val="0"/>
          <w:lang w:val="fa-IR"/>
        </w:rPr>
        <w:t xml:space="preserve"> از مرتبۀ واحدیت بالاتر است یعنى تجلّى ذات در آنجا حتى از تعیّن اسم بالاتر است. در آنجا پیامبر به مقام اطلاقى در علم مى‏رسد، نه به مقام تعیّن!</w:t>
      </w:r>
    </w:p>
    <w:p>
      <w:pPr>
        <w:pStyle w:val="Heading6"/>
      </w:pPr>
      <w:r>
        <w:rPr>
          <w:rtl w:val="0"/>
          <w:lang w:val="fa-IR"/>
        </w:rPr>
        <w:t xml:space="preserve">مقام ملائكۀ كلیه</w:t>
      </w:r>
    </w:p>
    <w:p>
      <w:pPr/>
      <w:r>
        <w:rPr>
          <w:rtl w:val="0"/>
          <w:lang w:val="fa-IR"/>
        </w:rPr>
        <w:t xml:space="preserve">مقام تعیّن مقام ملائكه است؛ مقام ملائكۀ كلیه مثل حضرت جبرائیل، عزرائیل، اسرافیل و امثالهم حتی روح‌القدس، اینها داراى مرتبۀ علم، قدرت، حیات، اماته و ... هستند و این مرتبه در آنها مرتبه‏اى است كه از آنها علم به سایر افراد افاضه مى‏شود.</w:t>
      </w:r>
    </w:p>
    <w:p>
      <w:pPr>
        <w:pStyle w:val="Heading6"/>
      </w:pPr>
      <w:r>
        <w:rPr>
          <w:rtl w:val="0"/>
          <w:lang w:val="fa-IR"/>
        </w:rPr>
        <w:t xml:space="preserve">اِعمال واسطیّت نفس نبى برای دریافت وحی</w:t>
      </w:r>
    </w:p>
    <w:p>
      <w:pPr/>
      <w:r>
        <w:rPr>
          <w:rtl w:val="0"/>
          <w:lang w:val="fa-IR"/>
        </w:rPr>
        <w:t xml:space="preserve">من‌باب‌مثال علمى كه به نفس پیامبران مى‏رسد از ناحیۀ جبرائیل است، وحى‌ای كه به پیامبران مى‏رسد از ناحیۀ جبرائیل است ولى این وحى واسطه است. آن شخصى كه این واسطه را اعمال مى‏كند همان نفس نبى است. وقتى شما دارید غذا می‌خورید این غذا براى اینكه به معدۀ شما برسد آن مسیرى را كه طى مى‏كند واسطه مى‏شود! شما بدون دهانتان نمى‏توانید غذا را به معده ببرید، نمى‏توانید معده را باز كنید و غذا را در آن جا بدهید! آیا مى‏توانید؟! باید این غذا در دهان گذاشته بشود و دهان غذا را بلع كند، سپس مرى این غذا را پایین ببرد و به معده برساند. این حركت دهان و مرى مسبوق به اراده و فعلِ فاعل و نفسِ آكل است. آن نفسِ آكل تا غذا را برندارد و در دهان نگذارد آیا دهان مى‏تواند ببلعد؟! تا من این آب را برندارم و دست من حركت نكند آیا مى‏توانم این آب را به معده برسانم؟! من تا دست نداشته باشم آیا مى‏توانم آب را بردارم؟! من تا دهان نداشته باشم آیا مى‏توانم آب را بلع كنم؟! من تا مرى نداشته باشم آیا مى‏توانم آن آب را بلع كنم؟! من تا ناى نداشته باشم آیا مى‏توانم آن هوا را استنشاق كنم و در ریه‏ها وارد كنم؟! هیچ‌كدام را نمى‏توانم انجام دهم ولى آن ارادۀ ابتدائى كه سابق بر همۀ این حركات و اعضاء خارجى است، آن ارادۀ چه كسى است؟! ارادۀ آكل و شارب است؛ تا آن اراده نباشد نه دست كارى انجام مى‏دهد نه دهان و نه مرى و امثال‌ذلک. آن اراده است كه این عمل را به‌وجود مى‏آورد.</w:t>
      </w:r>
    </w:p>
    <w:p>
      <w:pPr>
        <w:pStyle w:val="Heading6"/>
      </w:pPr>
      <w:r>
        <w:rPr>
          <w:rtl w:val="0"/>
          <w:lang w:val="fa-IR"/>
        </w:rPr>
        <w:t xml:space="preserve">کیفیت استخدام جبرائیل برای آوردن وحی توسط نفس رسول الله</w:t>
      </w:r>
    </w:p>
    <w:p>
      <w:pPr/>
      <w:r>
        <w:rPr>
          <w:rtl w:val="0"/>
          <w:lang w:val="fa-IR"/>
        </w:rPr>
        <w:t xml:space="preserve">پس اینكه شما در كتب دیدید كه نفس رسول الله جبرائیل را مى‏آورد، درست است و مسئله همین است ولی این‌همه سروصدا درآمد و گفتند که این‌طور نیست. مسئله همین است اما نفس رسول الله جبرائیل را براى تعیین آن اسماء علیم و قدیر و اینها استخدام مى‏كند همان‌طوری‌كه ما دست و دهان و مرى را براى این مسئلۀ اكل و شرب و تنفس استخدام مى‏كنیم. [فقط] فرق این است كه در این آلات و ادوات و اجزاء خارجى شعور و علمِ زائد بر ذات وجود ندارد ولكن در جبرائیل و ملائكۀ مقرّب خود آنها داراى علم و شعور و ادراك هم هستند. این فرق است. نه‌اینكه آنها مثل چوب و آهن باشند، نه چوب و آهن نیستند بلکه آنها ادراك و شعور و قدرت دارند و قدرت آنها هم قدرت كلى است، علم آنها هم علم كلى است، ولى آن چیزى كه باعث مى‏شود كه آنها بیایند و بتوانند در نفس پیامبر و رسول وارد بشوند همان ارادۀ خود رسول است كه اینها مى‏توانند وارد شوند.</w:t>
      </w:r>
    </w:p>
    <w:p>
      <w:pPr/>
      <w:r>
        <w:rPr>
          <w:rtl w:val="0"/>
          <w:lang w:val="fa-IR"/>
        </w:rPr>
        <w:t xml:space="preserve">البته ارادۀ اینها هم ارادۀ دل‏بخواهى نیست که یك ساعت بخواهند و یك ساعت نخواهند؛ نه‌خیر این‌طور نیست كه هروقت رسول الله بخواهد وحی بیاید و هروقت نخواهد نیاید! نه! ارادۀ آنها ارادۀ پروردگار است؛ وقتى كه خدا اراده مى‏كند اینها اراده مى‏كنند، وقتى كه اینها اراده مى‏كنند یعنى خدا اراده كرده است! كشكى و دل‏بخواهى هم نیست!</w:t>
      </w:r>
    </w:p>
    <w:p>
      <w:pPr/>
      <w:r>
        <w:rPr>
          <w:rtl w:val="0"/>
          <w:lang w:val="fa-IR"/>
        </w:rPr>
        <w:t xml:space="preserve">مسئله خیلى باریك است اما افراد در اینجا یكى را فهمیدند و ده‌تا را نفهمیدند و یكى را گرفتند و در ده‌تاى دیگر زائیده‌اند و نتوانستند اینها را با همدیگر جمع كنند! یك عده گفتند که اصلاً رسول الله مثل چوب بى‏اختیار و بی‌اراده است و یك عده گفتند که هرچه هست خود رسول الله است و بقیه بیكارند؛ هردو غلط است و هردو خطا و اشتباه است. بعضى‏ها هم گفتند که پیغمبر بلندگو هست و خدا هم که ...، آن هم غلط است. همۀ اینها غلط است. این نحوه و كیفیتى است كه من خدمتتان عرض كردم. این مطالب در همان بحثى كه داریم مى‏نویسیم مطرح می‌شود، البته نه به‌نحو خیلى فنّى ولى به‌نحو قابل استفادۀ عموم در آنجا مطرح می‌شود.</w:t>
      </w:r>
    </w:p>
    <w:p>
      <w:pPr/>
      <w:r>
        <w:rPr>
          <w:rtl w:val="0"/>
          <w:lang w:val="fa-IR"/>
        </w:rPr>
        <w:t xml:space="preserve">بنابراین این مسئله‏اى كه خود ذات بتواند فى‌حد‌ّنفسه در مرتبه‏اى باشد كه آن مرتبه در علم، علمِ محدود نباشد، این </w:t>
      </w:r>
      <w:r>
        <w:rPr>
          <w:rStyle w:val="Arabi"/>
          <w:rtl w:val="0"/>
          <w:lang w:val="fa-IR"/>
        </w:rPr>
        <w:t xml:space="preserve">بین الأحدیة و الواحدیه</w:t>
      </w:r>
      <w:r>
        <w:rPr>
          <w:rtl w:val="0"/>
          <w:lang w:val="fa-IR"/>
        </w:rPr>
        <w:t xml:space="preserve"> مى‏شود! یعنى بین أحدیت و واحدیت آن مرتبۀ تجلّى ذات است؛ بدون محدودیت در تعیّن علم، بدون محدودیت در تعیّن قدرت و بدون محدودیت در تعیّن اسماء و صفات كلّى. مرتبۀ واحدیت مرتبۀ حَدِّیت است. وقتى رسول خدا از حَدِّیت مى‏گذرد چگونه اسماء در او تحدید مى‏شود؟! چطور تحدید مى‏شود؟! پس مسئله در اینجا فرق می‌کند.</w:t>
      </w:r>
    </w:p>
    <w:p>
      <w:pPr>
        <w:pStyle w:val="SoalMatn"/>
      </w:pPr>
      <w:r>
        <w:rPr>
          <w:rtl w:val="0"/>
          <w:lang w:val="fa-IR"/>
        </w:rPr>
        <w:t xml:space="preserve">تلمیذ</w:t>
      </w:r>
      <w:r>
        <w:rPr>
          <w:rtl w:val="0"/>
          <w:lang w:val="fa-IR"/>
        </w:rPr>
        <w:t xml:space="preserve">: مقام ملائكه همان مقام واحدیت است؟</w:t>
      </w:r>
    </w:p>
    <w:p>
      <w:pPr/>
      <w:r>
        <w:rPr>
          <w:rtl w:val="0"/>
          <w:lang w:val="fa-IR"/>
        </w:rPr>
        <w:t xml:space="preserve">استاد</w:t>
      </w:r>
      <w:r>
        <w:rPr>
          <w:rtl w:val="0"/>
          <w:lang w:val="fa-IR"/>
        </w:rPr>
        <w:t xml:space="preserve">: بله، مقام آنها مربوط به مقام واحدیت است.</w:t>
      </w:r>
    </w:p>
    <w:p>
      <w:pPr>
        <w:pStyle w:val="Heading6"/>
      </w:pPr>
      <w:r>
        <w:rPr>
          <w:rtl w:val="0"/>
          <w:lang w:val="fa-IR"/>
        </w:rPr>
        <w:t xml:space="preserve">معنای کلام مرحوم حداد «جایی هستیم که ملائکه و جبرائیل هم راه ندارند»</w:t>
      </w:r>
    </w:p>
    <w:p>
      <w:pPr/>
      <w:r>
        <w:rPr>
          <w:rtl w:val="0"/>
          <w:lang w:val="fa-IR"/>
        </w:rPr>
        <w:t xml:space="preserve">این بزرگان كه این مطالب را گفتند، از روى بخار معده كه نگفتند! وقتى شخصى مثل مرحوم حداد ـ رضوان الله تعالیٰ علیه ـ مى‏فرمایند: «جایى هستیم كه هزار جبرائیل نمى‏تواند بفهمد كه ما كجا هستیم»</w:t>
      </w:r>
      <w:r>
        <w:rPr>
          <w:rStyle w:val="FootnoteReference"/>
        </w:rPr>
        <w:footnoteReference w:id="10"/>
      </w:r>
      <w:r>
        <w:rPr>
          <w:rtl w:val="0"/>
          <w:lang w:val="fa-IR"/>
        </w:rPr>
        <w:t xml:space="preserve"> خب اینها این حرف‌ها را كشكی و سرسری نمى‏گویند! مثل ما كه حرف نمى‏زنند! خب این همان حقیقتِ انسانى است كه در آن حقیقتِ انسانی، از ملائكه بالاتر است. حالا ما بگوییم که چرا ایشان این حرف را زده است، این كه مخصوص پیغمبر است؟! خب بله، پیغمبر هم هست، ائمه هم هستند، شیعیانِ ائمه كه به این مرتبه رسیدند هم هستند. وقتى امام هادى علیه‏السّلام در آن روایت مى‏فرماید:</w:t>
      </w:r>
    </w:p>
    <w:p>
      <w:pPr>
        <w:pStyle w:val="NaghlegholMatn"/>
      </w:pPr>
      <w:r>
        <w:rPr>
          <w:rStyle w:val="RevayatArabi"/>
          <w:rtl w:val="0"/>
          <w:lang w:val="fa-IR"/>
        </w:rPr>
        <w:t xml:space="preserve">یا فَتحُ! کَما لا یوصَفُ الجَلیلُ جَلَّ جَلالُهُ وَ الرَّسولُ و الخَلیلُ و وُلدُ البَتولِ فَکذلِکَ لا یوصَفُ المُؤمِنُ المُسَلِّمُ لِأمرِنا.</w:t>
      </w:r>
      <w:r>
        <w:rPr>
          <w:rStyle w:val="FootnoteReference"/>
        </w:rPr>
        <w:footnoteReference w:id="11"/>
      </w:r>
    </w:p>
    <w:p>
      <w:pPr/>
      <w:r>
        <w:rPr>
          <w:rtl w:val="0"/>
          <w:lang w:val="fa-IR"/>
        </w:rPr>
        <w:t xml:space="preserve">بندۀ مؤمن را كسى نمى‏تواند وصف كند مگر خدا! این یعنى چه؟! او دارد در آنجا احساس مى‏كند، او چه چیزى را احساس مى‏كند كه چنین حرفى را مى‏زند؟! چه مطلبى را دارد مى‏فهمد؟! علوم جزئى را كه‏ مى‏داند، سایر مطالبى را كه به آنها رسیده مى‏داند، عوالمى كه طى كرده را مى‏داند، همۀ اینها را مى‏داند، خب مى‏گوید که همۀ اینها درست است، آمدیم، آمدیم، آمدیم تا اینجا و از اینجا به بعد دیگر كسى نمى‏تواند بیاید! این یعنى چه؟! یعنى بالاتر است دیگر! یعنى به مقام اطلاقى رسیده است و شكى در آن نیست!</w:t>
      </w:r>
    </w:p>
    <w:p>
      <w:pPr>
        <w:pStyle w:val="SoalMatn"/>
      </w:pPr>
      <w:r>
        <w:rPr>
          <w:rtl w:val="0"/>
          <w:lang w:val="fa-IR"/>
        </w:rPr>
        <w:t xml:space="preserve">تلمیذ</w:t>
      </w:r>
      <w:r>
        <w:rPr>
          <w:rtl w:val="0"/>
          <w:lang w:val="fa-IR"/>
        </w:rPr>
        <w:t xml:space="preserve">: چطور می‌شود که این مقام </w:t>
      </w:r>
      <w:r>
        <w:rPr>
          <w:rStyle w:val="Arabi"/>
          <w:rtl w:val="0"/>
          <w:lang w:val="fa-IR"/>
        </w:rPr>
        <w:t xml:space="preserve">«نُقطَةُ الوَحدَةِ بَینَ قَوسَىِ الأحَدیَّةِ و الواحِدیَّة</w:t>
      </w:r>
      <w:r>
        <w:rPr>
          <w:rtl w:val="0"/>
          <w:lang w:val="fa-IR"/>
        </w:rPr>
        <w:t xml:space="preserve">» که لاحد است می‌تواند لاقید باشد درعین‌حال طبق آیۀ قرآن مقام کثرت هست؛ </w:t>
      </w:r>
      <w:r>
        <w:rPr>
          <w:rtl w:val="0"/>
          <w:lang w:val="fa-IR"/>
        </w:rPr>
        <w:t xml:space="preserve">﴿لِنُرِيَهُۥ مِنۡ ءَايَٰتِنَآ</w:t>
      </w:r>
      <w:r>
        <w:rPr>
          <w:rtl w:val="0"/>
          <w:lang w:val="fa-IR"/>
        </w:rPr>
        <w:t xml:space="preserve">﴾</w:t>
      </w:r>
      <w:r>
        <w:rPr>
          <w:rStyle w:val="FootnoteReference"/>
        </w:rPr>
        <w:footnoteReference w:id="12"/>
      </w:r>
      <w:r>
        <w:rPr>
          <w:rtl w:val="0"/>
          <w:lang w:val="fa-IR"/>
        </w:rPr>
        <w:t xml:space="preserve"> و‏ </w:t>
      </w:r>
      <w:r>
        <w:rPr>
          <w:rtl w:val="0"/>
          <w:lang w:val="fa-IR"/>
        </w:rPr>
        <w:t xml:space="preserve">﴿فَكَانَ قَابَ قَوۡسَيۡنِ أَوۡ أَدۡنَىٰ﴾</w:t>
      </w:r>
      <w:r>
        <w:rPr>
          <w:rtl w:val="0"/>
          <w:lang w:val="fa-IR"/>
        </w:rPr>
        <w:t xml:space="preserve">.</w:t>
      </w:r>
    </w:p>
    <w:p>
      <w:pPr/>
      <w:r>
        <w:rPr>
          <w:rtl w:val="0"/>
          <w:lang w:val="fa-IR"/>
        </w:rPr>
        <w:t xml:space="preserve">استاد</w:t>
      </w:r>
      <w:r>
        <w:rPr>
          <w:rtl w:val="0"/>
          <w:lang w:val="fa-IR"/>
        </w:rPr>
        <w:t xml:space="preserve">: این </w:t>
      </w:r>
      <w:r>
        <w:rPr>
          <w:rtl w:val="0"/>
          <w:lang w:val="fa-IR"/>
        </w:rPr>
        <w:t xml:space="preserve">﴿لِنُرِيَهُۥ مِنۡ ءَايَٰتِنَآ</w:t>
      </w:r>
      <w:r>
        <w:rPr>
          <w:rtl w:val="0"/>
          <w:lang w:val="fa-IR"/>
        </w:rPr>
        <w:t xml:space="preserve">﴾ چیست؟! آیات، آیات غیر متعیّن است. آیات كه حتماً نباید آیات جزئى باشد.</w:t>
      </w:r>
    </w:p>
    <w:p>
      <w:pPr>
        <w:pStyle w:val="SoalMatn"/>
      </w:pPr>
      <w:r>
        <w:rPr>
          <w:rtl w:val="0"/>
          <w:lang w:val="fa-IR"/>
        </w:rPr>
        <w:t xml:space="preserve">تلمیذ</w:t>
      </w:r>
      <w:r>
        <w:rPr>
          <w:rtl w:val="0"/>
          <w:lang w:val="fa-IR"/>
        </w:rPr>
        <w:t xml:space="preserve">: تعیّن کلی کثرت می‌شود؟</w:t>
      </w:r>
    </w:p>
    <w:p>
      <w:pPr/>
      <w:r>
        <w:rPr>
          <w:rtl w:val="0"/>
          <w:lang w:val="fa-IR"/>
        </w:rPr>
        <w:t xml:space="preserve">استاد</w:t>
      </w:r>
      <w:r>
        <w:rPr>
          <w:rtl w:val="0"/>
          <w:lang w:val="fa-IR"/>
        </w:rPr>
        <w:t xml:space="preserve">: خود اسماء كلی؛ در خود اسماء كلى تعیّن نیست.</w:t>
      </w:r>
    </w:p>
    <w:p>
      <w:pPr>
        <w:pStyle w:val="SoalMatn"/>
      </w:pPr>
      <w:r>
        <w:rPr>
          <w:rtl w:val="0"/>
          <w:lang w:val="fa-IR"/>
        </w:rPr>
        <w:t xml:space="preserve">تلمیذ</w:t>
      </w:r>
      <w:r>
        <w:rPr>
          <w:rtl w:val="0"/>
          <w:lang w:val="fa-IR"/>
        </w:rPr>
        <w:t xml:space="preserve">: خود مقام واحدیت مگر همان أسماء كلى نیست؟!</w:t>
      </w:r>
    </w:p>
    <w:p>
      <w:pPr/>
      <w:r>
        <w:rPr>
          <w:rtl w:val="0"/>
          <w:lang w:val="fa-IR"/>
        </w:rPr>
        <w:t xml:space="preserve">استاد</w:t>
      </w:r>
      <w:r>
        <w:rPr>
          <w:rtl w:val="0"/>
          <w:lang w:val="fa-IR"/>
        </w:rPr>
        <w:t xml:space="preserve">: نه آن نزول اسماء کلیه است. همان‌طور که عرض كردم اسماء كلی، قبل از واحدیت بوده است؛ واحدیت مقام ارادۀ تجزیه و تقسیم است. در مقام واحدیت است كه جبرائیل مى‏شود جبرائیل، عزرائیل مى‏شود عزرائیل؛ درعین‌حال كه هركدام از اینها ملك مقرب و کلی هستند اما درعین‌حال محدَّد هستند. کلی یعنى سِعى؛ اطلاقى نه، بلکه سِعی.</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لغت‌نامه دهخدا</w:t>
      </w:r>
      <w:r>
        <w:rPr>
          <w:rtl w:val="0"/>
          <w:lang w:val="fa-IR"/>
        </w:rPr>
        <w:t xml:space="preserve">: «غابات: بیشه‌ها و صحراها.»</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2، ص 16 و 17.</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شرح المنظومة</w:t>
      </w:r>
      <w:r>
        <w:rPr>
          <w:rtl w:val="0"/>
          <w:lang w:val="fa-IR"/>
        </w:rPr>
        <w:t xml:space="preserve">، ج 2، ص 352 ـ 354.</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فصوص الحكم</w:t>
      </w:r>
      <w:r>
        <w:rPr>
          <w:rtl w:val="0"/>
          <w:lang w:val="fa-IR"/>
        </w:rPr>
        <w:t xml:space="preserve">، ج 2، ص 13، با قدری اختلاف.</w:t>
      </w:r>
    </w:p>
  </w:footnote>
  <w:footnote w:id="5">
    <w:p>
      <w:pPr>
        <w:pStyle w:val="FootnoteText"/>
      </w:pPr>
      <w:r>
        <w:rPr>
          <w:rStyle w:val="FootnoteReference"/>
        </w:rPr>
        <w:footnoteRef/>
      </w:r>
      <w:r>
        <w:t xml:space="preserve"> </w:t>
      </w:r>
      <w:r>
        <w:rPr>
          <w:rtl w:val="0"/>
          <w:lang w:val="fa-IR"/>
        </w:rPr>
        <w:t xml:space="preserve">1. سوره نجم (53) آیه 9. </w:t>
      </w:r>
      <w:r>
        <w:rPr>
          <w:rtl w:val="0"/>
          <w:lang w:val="fa-IR"/>
        </w:rPr>
        <w:t xml:space="preserve">اسرار ملکوت</w:t>
      </w:r>
      <w:r>
        <w:rPr>
          <w:rtl w:val="0"/>
          <w:lang w:val="fa-IR"/>
        </w:rPr>
        <w:t xml:space="preserve">، ج 2، ص 363:</w:t>
      </w:r>
    </w:p>
    <w:p>
      <w:pPr>
        <w:pStyle w:val="FootnoteText"/>
      </w:pPr>
      <w:r>
        <w:rPr>
          <w:rtl w:val="0"/>
          <w:lang w:val="fa-IR"/>
        </w:rPr>
        <w:t xml:space="preserve">«تا به مقدار فاصلۀ دو قوس و یا كمتر با حضرت حق معیّت حاصل نمود.»</w:t>
      </w:r>
    </w:p>
  </w:footnote>
  <w:footnote w:id="6">
    <w:p>
      <w:pPr>
        <w:pStyle w:val="FootnoteText"/>
      </w:pPr>
      <w:r>
        <w:rPr>
          <w:rStyle w:val="FootnoteReference"/>
        </w:rPr>
        <w:footnoteRef/>
      </w:r>
      <w:r>
        <w:t xml:space="preserve"> </w:t>
      </w:r>
      <w:r>
        <w:rPr>
          <w:rtl w:val="0"/>
          <w:lang w:val="fa-IR"/>
        </w:rPr>
        <w:t xml:space="preserve">. سوره نجم (53) آیه 11. </w:t>
      </w:r>
      <w:r>
        <w:rPr>
          <w:rtl w:val="0"/>
          <w:lang w:val="fa-IR"/>
        </w:rPr>
        <w:t xml:space="preserve">الله شناسى</w:t>
      </w:r>
      <w:r>
        <w:rPr>
          <w:rtl w:val="0"/>
          <w:lang w:val="fa-IR"/>
        </w:rPr>
        <w:t xml:space="preserve">، ج ‏1، ص 98:</w:t>
      </w:r>
    </w:p>
    <w:p>
      <w:pPr>
        <w:pStyle w:val="FootnoteText"/>
      </w:pPr>
      <w:r>
        <w:rPr>
          <w:rtl w:val="0"/>
          <w:lang w:val="fa-IR"/>
        </w:rPr>
        <w:t xml:space="preserve">«دل پیامبر آنچه را كه عیاناً دیده است دروغ نمى‏گوید.»</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دیوان شمس مغربی</w:t>
      </w:r>
      <w:r>
        <w:rPr>
          <w:rtl w:val="0"/>
          <w:lang w:val="fa-IR"/>
        </w:rPr>
        <w:t xml:space="preserve">، غزل 111.</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امام شناسى</w:t>
      </w:r>
      <w:r>
        <w:rPr>
          <w:rtl w:val="0"/>
          <w:lang w:val="fa-IR"/>
        </w:rPr>
        <w:t xml:space="preserve">، ج 16، ص 241، تعلیقه:</w:t>
      </w:r>
    </w:p>
    <w:p>
      <w:pPr>
        <w:pStyle w:val="FootnoteText"/>
      </w:pPr>
      <w:r>
        <w:rPr>
          <w:rtl w:val="0"/>
          <w:lang w:val="fa-IR"/>
        </w:rPr>
        <w:t xml:space="preserve">«جزو مجموعه‏اى از صلوات خاصّه محیى‏الدّین غیر از صلوات مشهوره. اصل مجموعه در كتاب بسیار كوچك بغلى با خطّى در أعلاترین درجه از حسن نستعلیق نزد حقیر موجود مى‏باشد.»</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16، ص 402. </w:t>
      </w:r>
      <w:r>
        <w:rPr>
          <w:rtl w:val="0"/>
          <w:lang w:val="fa-IR"/>
        </w:rPr>
        <w:t xml:space="preserve">روح مجرد</w:t>
      </w:r>
      <w:r>
        <w:rPr>
          <w:rtl w:val="0"/>
          <w:lang w:val="fa-IR"/>
        </w:rPr>
        <w:t xml:space="preserve">، ص 169، تعلیقه:</w:t>
      </w:r>
    </w:p>
    <w:p>
      <w:pPr>
        <w:pStyle w:val="FootnoteText"/>
      </w:pPr>
      <w:r>
        <w:rPr>
          <w:rtl w:val="0"/>
          <w:lang w:val="fa-IR"/>
        </w:rPr>
        <w:t xml:space="preserve">«[رسول خدا صلی الله علیه و آله و سلم فرمودند] «من بیتوته می‌كنم (شب را به روز مى‏آورم) در نزد پروردگارم، او مرا غذا می‌دهد و آب می‌دهد.»</w:t>
      </w:r>
    </w:p>
  </w:footnote>
  <w:footnote w:id="10">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اسرار ملكوت</w:t>
      </w:r>
      <w:r>
        <w:rPr>
          <w:rtl w:val="0"/>
          <w:lang w:val="fa-IR"/>
        </w:rPr>
        <w:t xml:space="preserve">، ج 2، ص 166.</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كشف الغمة</w:t>
      </w:r>
      <w:r>
        <w:rPr>
          <w:rtl w:val="0"/>
          <w:lang w:val="fa-IR"/>
        </w:rPr>
        <w:t xml:space="preserve">، ج ۲، ص ۳۸6؛ </w:t>
      </w:r>
      <w:r>
        <w:rPr>
          <w:rtl w:val="0"/>
          <w:lang w:val="fa-IR"/>
        </w:rPr>
        <w:t xml:space="preserve">بحار الأنوار</w:t>
      </w:r>
      <w:r>
        <w:rPr>
          <w:rtl w:val="0"/>
          <w:lang w:val="fa-IR"/>
        </w:rPr>
        <w:t xml:space="preserve">، ج 5۰، ص ۱۷۷.</w:t>
      </w:r>
    </w:p>
    <w:p>
      <w:pPr>
        <w:pStyle w:val="FootnoteText"/>
      </w:pPr>
      <w:r>
        <w:rPr>
          <w:rtl w:val="0"/>
          <w:lang w:val="fa-IR"/>
        </w:rPr>
        <w:t xml:space="preserve">ترجمه: «ای فتح! به همان‌گونه که خدای بزرگوار ـ که جلالش شکوهمند است ـ و نیز پیامبر و خلیل او، و فرزندان زهرای بتول، در وصف نگنجند، مؤمن تسلیم امر ما نیز در وصف نگنجد!» (محقق)</w:t>
      </w:r>
    </w:p>
  </w:footnote>
  <w:footnote w:id="12">
    <w:p>
      <w:pPr>
        <w:pStyle w:val="FootnoteText"/>
      </w:pPr>
      <w:r>
        <w:rPr>
          <w:rStyle w:val="FootnoteReference"/>
        </w:rPr>
        <w:footnoteRef/>
      </w:r>
      <w:r>
        <w:t xml:space="preserve"> </w:t>
      </w:r>
      <w:r>
        <w:rPr>
          <w:rtl w:val="0"/>
          <w:lang w:val="fa-IR"/>
        </w:rPr>
        <w:t xml:space="preserve">. سوره اسراء (17) آیه 1:</w:t>
      </w:r>
    </w:p>
    <w:p>
      <w:pPr>
        <w:pStyle w:val="FootnoteText"/>
      </w:pPr>
      <w:r>
        <w:rPr>
          <w:rtl w:val="0"/>
          <w:lang w:val="fa-IR"/>
        </w:rPr>
        <w:t xml:space="preserve">﴿</w:t>
      </w:r>
      <w:r>
        <w:rPr>
          <w:rtl w:val="0"/>
          <w:lang w:val="fa-IR"/>
        </w:rPr>
        <w:t xml:space="preserve">سُبۡحَٰنَ ٱلَّذِيٓ أَسۡرَىٰ بِعَبۡدِهِۦ لَيۡلٗا مِّنَ ٱلۡمَسۡجِدِ ٱلۡحَرَامِ إِلَى ٱلۡمَسۡجِدِ ٱلۡأَقۡصَا ٱلَّذِي بَٰرَكۡنَا حَوۡلَهُۥ لِنُرِيَهُۥ مِنۡ ءَايَٰتِنَآ إِنَّهُۥ هُوَ ٱلسَّمِيعُ ٱلۡبَصِيرُ﴾.</w:t>
      </w:r>
      <w:r>
        <w:rPr>
          <w:rtl w:val="0"/>
          <w:lang w:val="fa-IR"/>
        </w:rPr>
        <w:t xml:space="preserve"> </w:t>
      </w:r>
      <w:r>
        <w:rPr>
          <w:rtl w:val="0"/>
          <w:lang w:val="fa-IR"/>
        </w:rPr>
        <w:t xml:space="preserve">الله شناسى،</w:t>
      </w:r>
      <w:r>
        <w:rPr>
          <w:rtl w:val="0"/>
          <w:lang w:val="fa-IR"/>
        </w:rPr>
        <w:t xml:space="preserve"> ج ‏1، ص 220:</w:t>
      </w:r>
    </w:p>
    <w:p>
      <w:pPr>
        <w:pStyle w:val="FootnoteText"/>
      </w:pPr>
      <w:r>
        <w:rPr>
          <w:rtl/>
          <w:lang w:val="fa-IR"/>
        </w:rPr>
        <w:t xml:space="preserve">«پاك و منزّه است آن خدایى كه در شبى بنده‏اش را سیر داد از مسجدالحرام تا مسجد اقصىٰ، آنجا كه ما اطراف و جوانبش را بركت داده‏ایم، براى آنكه به آن بنده آیات خودمان را نشان بدهیم. حقّاً و تحقیقاً اوست یگانه شنوا، و یگانه بینا».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