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دوم</w:t>
      </w:r>
    </w:p>
    <w:p>
      <w:pPr>
        <w:pStyle w:val="Heading5"/>
      </w:pPr>
      <w:r>
        <w:rPr>
          <w:rtl w:val="0"/>
          <w:lang w:val="fa-IR"/>
        </w:rPr>
        <w:t xml:space="preserve">ارتباط کیفیت لحاظ ماهیت در نوع و جنس و فصل بودن (1)</w:t>
      </w:r>
    </w:p>
    <w:p>
      <w:pPr>
        <w:pStyle w:val="Heading6"/>
      </w:pPr>
      <w:r>
        <w:rPr>
          <w:rtl w:val="0"/>
          <w:lang w:val="fa-IR"/>
        </w:rPr>
        <w:t xml:space="preserve">اهمیت مکان برای ذکر گفتن</w:t>
      </w:r>
    </w:p>
    <w:p>
      <w:pPr/>
      <w:r>
        <w:rPr>
          <w:rtl w:val="0"/>
          <w:lang w:val="fa-IR"/>
        </w:rPr>
        <w:t xml:space="preserve">... هوای سرد به کلیه‌ها آسیب می‌رساند لذا باید حتما چیزی بسته باشد.</w:t>
      </w:r>
    </w:p>
    <w:p>
      <w:pPr/>
      <w:r>
        <w:rPr>
          <w:rtl w:val="0"/>
          <w:lang w:val="fa-IR"/>
        </w:rPr>
        <w:t xml:space="preserve">مرحوم قاضى ـ رضوان ‌الله ‌تعالی ‌علیه ـ مى‏گفتند: اگر یك‏جا نشستید كه ذكر بگویید و دیدید حال پیدا نكردید جایتان را عوض كنید؛ هرجایی كه مى‏بینید احساستان احساس بهترى است [آنجا ذکر بگویید] چون [مكان] فرق مى‏كند. این مکان‌ها و زمان‌ها چطور آثار مى‏گیرند! خیلى عجیب است!</w:t>
      </w:r>
    </w:p>
    <w:p>
      <w:pPr>
        <w:pStyle w:val="Heading6"/>
      </w:pPr>
      <w:r>
        <w:rPr>
          <w:rtl w:val="0"/>
          <w:lang w:val="fa-IR"/>
        </w:rPr>
        <w:t xml:space="preserve">اثرپذیری مکان‌ها</w:t>
      </w:r>
    </w:p>
    <w:p>
      <w:pPr/>
      <w:r>
        <w:rPr>
          <w:rtl w:val="0"/>
          <w:lang w:val="fa-IR"/>
        </w:rPr>
        <w:t xml:space="preserve">شخصى از دوستان ـ خدا رحمتش كند ـ مى‏گفت كه پسر بچه‏اى [خدا به ما داد]، خیلى شب‌ها گریه مى‏كرد، تااینكه یك شب مرحوم آقا ـ رضوان الله تعالی علیه ـ به منزل ایشان رفته بودند، نشسته بودند و اینها هم بچه را براى اذان و اقامه و دعا [پیش ایشان] برده بودند، بعد شب [در آنجا بودند] و رفتند، آن شب ما دیدیم این بچه گریه نكرد. فردا شب شد دوباره این بچه شروع به گریه كردن كرد، نمى‏دانم دل‏درد گرفته بود یا هرچه خلاصه بچه که همین‌طوری گریه نمی‌کند، دیدیم نمى‏خواهد بگذارد ما بخوابیم! خوابمان مى‏آید، بچه‏ها معمولاً نمى‏گذارند پدر و مادرها بخوابند، حالا بیدار هم باشند باید بچه‏دارى كنند! این‌طور نیست كه بچه خودش به خودش مشغول باشد، بالأخره باید بچه‏دارى كرد! مى‏گفت كه یك‌دفعه به ذهنمان رسید و این بچه را برداشتیم و گذاشتیم همان‏ جایى كه دیشب مرحوم آقا نشسته بودند؛ تا او را آنجا گذاشتیم دیدیم خوابش برد! دیگر هر شب كارمان همین بود! تا گریه مى‏كرد مى‏گذاشتیم همان‏جا! حالا یا مى‏خوابید و یا دیگر بچه مزاحم‏ نبود! علیٰ‌کلّ‌حال گفتیم که اى كاش آقا زودتر مى‏آمد! خیلى این فضا و مكان عجیب است.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(4) فى الفرقِ بین الجنسِ و المادةِ و بَینَ النّوعِ و الموضوع‏.</w:t>
      </w:r>
      <w:r>
        <w:rPr>
          <w:rStyle w:val="FootnoteReference"/>
        </w:rPr>
        <w:footnoteReference w:id="1"/>
      </w:r>
    </w:p>
    <w:p>
      <w:pPr/>
      <w:r>
        <w:rPr>
          <w:rtl w:val="0"/>
          <w:lang w:val="fa-IR"/>
        </w:rPr>
        <w:t xml:space="preserve">ماحصل مطلب ایشان در اینجا این است كه در تصور ماهیت، یك وقت آن ماهیت لابشرط‌شیء تصور مى‏شود یك وقت آن ماهیت بشرط‌شیء است و یك وقت لابشرط مُطلق؛ </w:t>
      </w:r>
      <w:r>
        <w:rPr>
          <w:rStyle w:val="Arabi"/>
          <w:rtl w:val="0"/>
          <w:lang w:val="fa-IR"/>
        </w:rPr>
        <w:t xml:space="preserve">لا بِشرط شیءٍ مَعَه</w:t>
      </w:r>
      <w:r>
        <w:rPr>
          <w:rtl w:val="0"/>
          <w:lang w:val="fa-IR"/>
        </w:rPr>
        <w:t xml:space="preserve">، كه همان بشرط‌لا مى‏شود و در تصور ماهیت اگر ذهن آن ماهیت را لابشرطِ از انضمام او با امر دیگر و خود آن مفهوم را فى‌حدّ‌نفسه تصور كند در‌این‌صورت این یا جنس است و یا فصلِ تنها و فى‌حدّ‌‌نفسه است و دلیلش هم مشخص است زیرا هر نوعى مركب از جنس و فصل است و ذهن تا براى جنس یك معناى لابشرط‌شی‏ء تصور نكند نمى‏تواند او را جزءِ مركب براى نوع قرار بدهد؛ باید لحاظ اوّلیه در مورد آن شی‏ء در ذهن تام باشد تا بعد ذهن او را به انضمامِ امر دیگری ـ هردو را ـ یك نوع از انواع قرار بدهد.</w:t>
      </w:r>
    </w:p>
    <w:p>
      <w:pPr>
        <w:pStyle w:val="Heading6"/>
      </w:pPr>
      <w:r>
        <w:rPr>
          <w:rtl w:val="0"/>
          <w:lang w:val="fa-IR"/>
        </w:rPr>
        <w:t xml:space="preserve">موشكافى ذهن برای فرق گذاشتن بین حقایق و اعتبارات</w:t>
      </w:r>
    </w:p>
    <w:p>
      <w:pPr/>
      <w:r>
        <w:rPr>
          <w:rtl w:val="0"/>
          <w:lang w:val="fa-IR"/>
        </w:rPr>
        <w:t xml:space="preserve">بنابراین تصور یك شی‏ء، حالا فى‌حدّ‌نفسه هرچه مى‏خواهد باشد؛ یا ذهن خودش چیزى را از آن مرتكزات خودش به‌دست بیاورد یااینكه از آن اعیان خارجى انتزاعاتى مى‏كند و آن انتزاعات را به‌صورت معرّىٰ و منزّه از ضمّ ضمائم در صورت ذهنى خود ترسیم مى‏كند و بعد حالا یا شی‏ء دیگرى را ضمیمۀ او مى‏كند یا نمى‏كند، علیٰ‌کلّ‌حال خود تصور اجزاء نوع كه عبارت از جنس و فصل است یك اقتضاى بشرط‌لائى یا </w:t>
      </w:r>
      <w:r>
        <w:rPr>
          <w:rStyle w:val="Arabi"/>
          <w:rtl w:val="0"/>
          <w:lang w:val="fa-IR"/>
        </w:rPr>
        <w:t xml:space="preserve">لا بشرط شی‏ءٍ معه</w:t>
      </w:r>
      <w:r>
        <w:rPr>
          <w:rtl w:val="0"/>
          <w:lang w:val="fa-IR"/>
        </w:rPr>
        <w:t xml:space="preserve"> [است]، فرق نمى‏كند در اینجا هردو یك معنا را دارد كه خودش فى‌حدّ‌نفسه در ذهن ترسیم مى‏شود و ذهن یك حقیقت متصورۀ مابازاء خارجى براى او ترسیم مى‏كند كه البته آن حقیقت متصوره بدون فصل نمى‏شود و اگر فصل است بدون جنس نمى‏شود. ولى در اینكه ذهن یك هم‌چنین مطلبى را انتزاع مى‏كند و در این انتزاع خودش فصل را دخالت نمى‏دهد یا وقتى كه فصل را در این انتزاع تصور مى‏كند جنس را دخالت نمى‏دهد، براى هركدام یك حقیقت خارجى [مدّنظر هست] گرچه آن حقیقت خارجى اتحاد خارجى داشته باشند ولیكن یك مابازاء خارجى باید براى این حقیقتى كه تصور كرده مدّنظر قرار بدهد و در اینجا ذهن این موشكافى را مى‏كند تااینكه بین حقایق و اعتبارات امتیاز و فرق بگذارد. همین لحاظ‌ها است كه ذهن انسان را در انتزاع مفاهیم مختلفه از یك موضوع واحد نقّاد مى‏كند و آن تحقیق و تدقیق را براى انسان ایجاب مى‏كند و بین متشابهات براى انسان فرق مى‏گذارد. مرحوم علامه طباطبایى ـ رضوان ‌الله ‌تعالی‌ علیه ـ یك حاشیه‏اى در اینجا دارند كه توضیح همین كلام مرحوم آخوند است و فرق نمى‏كند و مطلبى در آن نیست.</w:t>
      </w:r>
    </w:p>
    <w:p>
      <w:pPr>
        <w:pStyle w:val="Heading6"/>
      </w:pPr>
      <w:r>
        <w:rPr>
          <w:rtl w:val="0"/>
          <w:lang w:val="fa-IR"/>
        </w:rPr>
        <w:t xml:space="preserve">عدم وجود دقت در فلسفۀ غرب</w:t>
      </w:r>
    </w:p>
    <w:p>
      <w:pPr/>
      <w:r>
        <w:rPr>
          <w:rtl w:val="0"/>
          <w:lang w:val="fa-IR"/>
        </w:rPr>
        <w:t xml:space="preserve">این چیز عجیبى است كه ما این مسائل را در فلسفۀ غرب اصلاً نمى‏بینیم یعنى به‌طورکلی اینها یك هم‌چنین دقت‏هایى در اینجا ندارند و خیلى سطحى و بسیط آمدند چند‌تا موضوع و محمول‌هایی در كنار هم قرار دادند و اسمش را فلسفه یا كلام جدید گذاشتند و وقتى آدم نگاه مى‏كند خنده‏اش مى‏گیرد! اینها چیست؟! این شد كلام؟! این شد فلسفه؟!</w:t>
      </w:r>
    </w:p>
    <w:p>
      <w:pPr>
        <w:pStyle w:val="Heading6"/>
      </w:pPr>
      <w:r>
        <w:rPr>
          <w:rtl w:val="0"/>
          <w:lang w:val="fa-IR"/>
        </w:rPr>
        <w:t xml:space="preserve">اشکال به نظریۀ دکارت دربارۀ تسمیۀ وجود به جنس</w:t>
      </w:r>
    </w:p>
    <w:p>
      <w:pPr/>
      <w:r>
        <w:rPr>
          <w:rtl w:val="0"/>
          <w:lang w:val="fa-IR"/>
        </w:rPr>
        <w:t xml:space="preserve">شخص چقدر باید آدم بسیطى باشد كه اسم وجود را جنس بگذارد! یعنى اصلاً خنده‏دار است! حتى اصالة‏الماهوی‌ها كه ما به آنها مى‏خندیم یك هم‌چنین حرفى را نمى‏زنند و اسم وجود را جنس نمی‌گذارند! اگر هم آنها قائل به اعتباریت ماهیت هستند بالأخره آن را امر زائدِ منتزعِ از ماهیت مى‏دانند نه‌اینكه دیگر اسم جنس را بر وجود بگذارند! اسم جنس را بر وجود گذاشتن خیلى سخافت‏ مى‏خواهد كه یكى مثل دِكارت یك هم‌چنین مطلبى را بگوید و تصورش از وجود [این‌گونه باشد]! یعنى اصلاً حتى یک هستى عادى را هم تصور نكرده است؛ یک هستىِ عادى كه به معناى «بود» است [را تصور نکرده است]! خب «بود» اصلاً به جنس چه مربوط است؟! جنس و فصل حدود شی‏ء هستند، علیٰ‌کلّ‌حال این [دکارت] بهترشان است! حالا نسبت به بقیه که دیگر چه عرض کنم!</w:t>
      </w:r>
    </w:p>
    <w:p>
      <w:pPr/>
      <w:r>
        <w:rPr>
          <w:rtl w:val="0"/>
          <w:lang w:val="fa-IR"/>
        </w:rPr>
        <w:t xml:space="preserve">ولى شما وقتى به فلسفۀ ما و صدرالمتألهین نگاه مى‏كنید، مى‏بینید اینها اصلاً در عالم دیگر هستند اصلاً انگار از كُرات دیگر آمدند كه چگونه مِیز و امتیاز بین جنس، فصل، نوع، ماده و صورت قائل مى‏شوند! [در اینجا] می‌گویید که این مغز، مغزى است كه مى‏شود گفت دارد به مطالب و مسائل دسترسى پیدا مى‏كند!</w:t>
      </w:r>
    </w:p>
    <w:p>
      <w:pPr>
        <w:pStyle w:val="Heading6"/>
      </w:pPr>
      <w:r>
        <w:rPr>
          <w:rtl w:val="0"/>
          <w:lang w:val="fa-IR"/>
        </w:rPr>
        <w:t xml:space="preserve">اهمیت و تأثیر تدریس تفسیر المیزان در حوزه‌های علمیه</w:t>
      </w:r>
    </w:p>
    <w:p>
      <w:pPr/>
      <w:r>
        <w:rPr>
          <w:rtl w:val="0"/>
          <w:lang w:val="fa-IR"/>
        </w:rPr>
        <w:t xml:space="preserve">من سابق بارها نكته‏اى از مرحوم آقا ـ رضوان‌ الله‌ تعالی ‌علیه ـ راجع به تفسیر </w:t>
      </w:r>
      <w:r>
        <w:rPr>
          <w:rtl w:val="0"/>
          <w:lang w:val="fa-IR"/>
        </w:rPr>
        <w:t xml:space="preserve">المیزان</w:t>
      </w:r>
      <w:r>
        <w:rPr>
          <w:rtl w:val="0"/>
          <w:lang w:val="fa-IR"/>
        </w:rPr>
        <w:t xml:space="preserve"> مى‌شنیدم كه مى‏فرمودند:</w:t>
      </w:r>
    </w:p>
    <w:p>
      <w:pPr>
        <w:pStyle w:val="NaghlegholMatn"/>
      </w:pPr>
      <w:r>
        <w:rPr>
          <w:rtl w:val="0"/>
          <w:lang w:val="fa-IR"/>
        </w:rPr>
        <w:t xml:space="preserve">اگر </w:t>
      </w:r>
      <w:r>
        <w:rPr>
          <w:rtl w:val="0"/>
          <w:lang w:val="fa-IR"/>
        </w:rPr>
        <w:t xml:space="preserve">تفسیر المیزان</w:t>
      </w:r>
      <w:r>
        <w:rPr>
          <w:rtl w:val="0"/>
          <w:lang w:val="fa-IR"/>
        </w:rPr>
        <w:t xml:space="preserve"> در حوزه‏هاى علمیه تدریس بشود دویست سال بعد تازه مى‏فهمند مرحوم علامه ـ رضوان ‌الله ‌تعالی ‌علیه ـ چه گفته است!</w:t>
      </w:r>
    </w:p>
    <w:p>
      <w:pPr/>
      <w:r>
        <w:rPr>
          <w:rtl w:val="0"/>
          <w:lang w:val="fa-IR"/>
        </w:rPr>
        <w:t xml:space="preserve">و خب این شاید در بادى امر یك مطلب ثقیل و اغراق‌آمیز به نظر بیاید ولیكن وقتى ما به سایر تفاسیرى كه امروزه نوشته مى‏شود نگاه مى‏كنیم مى‏بینیم چنان حرف بى‏ربطى هم نیست! این آقایانی كه مدعى تفسیر هستند، تفاسیرى كه نوشتند در باب تبیین آیات و مطالبى كه نقل مى‏كنند مى‏بینیم نه، [چنان] چیزى نیست، اتفاقاً بعداً من از مرحوم مطهرى هم شنیدم كه ایشان در مجلسى به افراد گفته بود كه من از آقاى آقا سید محمدحسین یك هم‌چنین چیزى را شنیدم و مدتى دربارۀ این قضیه فكر مى‏كردم تااینكه دیدم بله، مطلب همین است و این </w:t>
      </w:r>
      <w:r>
        <w:rPr>
          <w:rtl w:val="0"/>
          <w:lang w:val="fa-IR"/>
        </w:rPr>
        <w:t xml:space="preserve">تفسیر المیزان</w:t>
      </w:r>
      <w:r>
        <w:rPr>
          <w:rtl w:val="0"/>
          <w:lang w:val="fa-IR"/>
        </w:rPr>
        <w:t xml:space="preserve"> در شرایط فعلى قدر و قیمتش معلوم نیست و باید خیلى بگذرد و تازه تدریس بشود [تا قدر و قیمتش معلوم شود] نه‌اینکه همین‏طورى افراد بخواهند مطالعه كنند.</w:t>
      </w:r>
    </w:p>
    <w:p>
      <w:pPr/>
      <w:r>
        <w:rPr>
          <w:rtl w:val="0"/>
          <w:lang w:val="fa-IR"/>
        </w:rPr>
        <w:t xml:space="preserve">حالا اگر كسى </w:t>
      </w:r>
      <w:r>
        <w:rPr>
          <w:rtl w:val="0"/>
          <w:lang w:val="fa-IR"/>
        </w:rPr>
        <w:t xml:space="preserve">تفسیر نوین</w:t>
      </w:r>
      <w:r>
        <w:rPr>
          <w:rStyle w:val="FootnoteReference"/>
        </w:rPr>
        <w:footnoteReference w:id="2"/>
      </w:r>
      <w:r>
        <w:rPr>
          <w:rtl w:val="0"/>
          <w:lang w:val="fa-IR"/>
        </w:rPr>
        <w:t xml:space="preserve"> را کنار تفسیر المیزان بگذارد و بگوید: این مفسر این را مى‏گوید و آن مفسر این را مى‏گوید، خب هردو [تفسیر] هستند! معلوم می‌شود این آدم مریضى است، [این آقای صاحب </w:t>
      </w:r>
      <w:r>
        <w:rPr>
          <w:rtl w:val="0"/>
          <w:lang w:val="fa-IR"/>
        </w:rPr>
        <w:t xml:space="preserve">تفسیر نوین</w:t>
      </w:r>
      <w:r>
        <w:rPr>
          <w:rtl w:val="0"/>
          <w:lang w:val="fa-IR"/>
        </w:rPr>
        <w:t xml:space="preserve">] آدمى بود كه یقینیاتش براى ما وهمیات بود! بنده خودم با آنها بودم و مجالس هم‏ داشتیم! در آن زمان نوجوانى یقینیاتش براى ما وهمیات بود! حالا این افراد بیایند در این محدوده [وارد شوند و تفسیر] بکنند واقعاً تضحیه و ابطال علم است. خلاصه خدا باید انصاف بدهد.</w:t>
      </w:r>
    </w:p>
    <w:p>
      <w:pPr>
        <w:pStyle w:val="Heading6"/>
      </w:pPr>
      <w:r>
        <w:rPr>
          <w:rtl w:val="0"/>
          <w:lang w:val="fa-IR"/>
        </w:rPr>
        <w:t xml:space="preserve">آثار تحقیق و تدقیق در فلسفه و منطق</w:t>
      </w:r>
    </w:p>
    <w:p>
      <w:pPr/>
      <w:r>
        <w:rPr>
          <w:rtl w:val="0"/>
          <w:lang w:val="fa-IR"/>
        </w:rPr>
        <w:t xml:space="preserve">وقتى كه ذهن و نفس با این‌گونه تحقیقات و تدقیقات و تمایزات عادت كند و بتواند به یك تحلیلى برسد در آنجا دیگر انسان در مطالب و علوم کاملاً مى‏تواند صاحب‌نظر بشود و مى‏تواند موارد صلاح و فساد، صحیح و سقیم را تشخیص بدهد كه كدام مورد مغلطه است، کدام جدل است، كدام برهان است، كدام یقین است و كدام بر پایۀ حدس و خیال است. نفس یك هم‌چنین چیزى دارد.</w:t>
      </w:r>
    </w:p>
    <w:p>
      <w:pPr/>
      <w:r>
        <w:rPr>
          <w:rtl w:val="0"/>
          <w:lang w:val="fa-IR"/>
        </w:rPr>
        <w:t xml:space="preserve">یك وقت شخصی فاضل و عالم ـ خدا رحمتش كند، به رحمت خدا رفته است ـ از مرحوم علامه و خصوصیات ایشان نقل مى‏كرد که مرحوم علامه اگر در علمى هم وارد نبود وقتى شخص حرفى را مى‏زد، [ایشان] مى‏فهمید این خلاف است یا نه، [بااینکه] وارد نبود ولى چون نفس، نفسى است كه قدرت تشخیصش دیگر واقعاً به یك حد پختگى كامل رسیده است، حرف را كه مى‏شنود مى‏فهمد كه این چقدر از استحكام پایه‏اى برخوردار است یااینكه چرت‌وپرت است و خیلى نمى‏شود به آن توجه‌ کرد، یعنى منطق و فلسفه درصورتی‌که رویش تحقیق بشود و نظر داده بشود یك هم‌چنین قدرت و جنبه‏اى را براى انسان به‌وجود مى‏آورد.</w:t>
      </w:r>
    </w:p>
    <w:p>
      <w:pPr/>
      <w:r>
        <w:rPr>
          <w:rtl w:val="0"/>
          <w:lang w:val="fa-IR"/>
        </w:rPr>
        <w:t xml:space="preserve">علیٰ‌کلّ‌حال مرحوم آخوند در اینجا مى‏فرمایند که وقتى ما مى‏خواهیم به جنس نظر بكنیم، یك وقت روى خود آن جنس فى‌حدّ‌نفسه نظر مى‏كنیم این مسئله همان بشرط‌لا بودن است، مثلاً همین قضیه را شما در باب توحید هم مى‏توانید مورد استفاده قرار بدهید؛ در قضیۀ توحید و این اختلافاتى كه در اینجا هست كیفیت بشرط‌لا بودن مقام أحدیت و كیفیت لابشرط‌شیئى او كه همان مقام هو‌هویت است. كیفیت به شرط‌ شىء بودن او كه آن مقام جامع الجمعى كه مستجمع جمیع صفات كمالیه در تمام مراتب اسماء است كه آن مسئلۀ به شرط شىء بودن حقیقت خارجى اسم الله است. یا لابشرطى اوست كه مقام واحدیت است؛ یعنى در آنجا منافاتى با نزول اسماء و صفات ندارد. یك حیثیتی هست كه آن حیثیت </w:t>
      </w:r>
      <w:r>
        <w:rPr>
          <w:rStyle w:val="Arabi"/>
          <w:rtl w:val="0"/>
          <w:lang w:val="fa-IR"/>
        </w:rPr>
        <w:t xml:space="preserve">یَجتَمِعُ مَعَ‏ التَعَیُّنات</w:t>
      </w:r>
      <w:r>
        <w:rPr>
          <w:rtl w:val="0"/>
          <w:lang w:val="fa-IR"/>
        </w:rPr>
        <w:t xml:space="preserve"> یعنى </w:t>
      </w:r>
      <w:r>
        <w:rPr>
          <w:rStyle w:val="Arabi"/>
          <w:rtl w:val="0"/>
          <w:lang w:val="fa-IR"/>
        </w:rPr>
        <w:t xml:space="preserve">لا یَمتَنِع الاجتِماع مَعَ التَعَیُّنات</w:t>
      </w:r>
      <w:r>
        <w:rPr>
          <w:rtl w:val="0"/>
          <w:lang w:val="fa-IR"/>
        </w:rPr>
        <w:t xml:space="preserve"> خب در اینجا، اگر این سه مرحله را مورد دقت قرار بدهیم آن‌وقت دیگر كلام امیرالمؤمنین علیه‌السّلام و سایر مطالب روشن می‌شود. [مثل] </w:t>
      </w:r>
      <w:r>
        <w:rPr>
          <w:rtl w:val="0"/>
          <w:lang w:val="fa-IR"/>
        </w:rPr>
        <w:t xml:space="preserve">﴿وَهُوَ مَعَكُمۡ أَيۡنَ مَا كُنتُمۡ﴾</w:t>
      </w:r>
      <w:r>
        <w:rPr>
          <w:rStyle w:val="FootnoteReference"/>
        </w:rPr>
        <w:footnoteReference w:id="3"/>
      </w:r>
      <w:r>
        <w:rPr>
          <w:rtl w:val="0"/>
          <w:lang w:val="fa-IR"/>
        </w:rPr>
        <w:t xml:space="preserve"> و </w:t>
      </w:r>
      <w:r>
        <w:rPr>
          <w:rtl w:val="0"/>
          <w:lang w:val="fa-IR"/>
        </w:rPr>
        <w:t xml:space="preserve">﴿فَأَيۡنَمَا تُوَلُّواْ فَثَمَّ وَجۡهُ ٱللَهِ﴾</w:t>
      </w:r>
      <w:r>
        <w:rPr>
          <w:rStyle w:val="FootnoteReference"/>
        </w:rPr>
        <w:footnoteReference w:id="4"/>
      </w:r>
      <w:r>
        <w:rPr>
          <w:rtl w:val="0"/>
          <w:lang w:val="fa-IR"/>
        </w:rPr>
        <w:t xml:space="preserve"> یا </w:t>
      </w:r>
      <w:r>
        <w:rPr>
          <w:rtl w:val="0"/>
          <w:lang w:val="fa-IR"/>
        </w:rPr>
        <w:t xml:space="preserve">﴿وَهُوَ ٱلَّذِي فِي ٱلسَّمَآءِ إِلَٰهٞ وَفِي ٱلۡأَرۡضِ إِلَٰهٞ﴾</w:t>
      </w:r>
      <w:r>
        <w:rPr>
          <w:rStyle w:val="FootnoteReference"/>
        </w:rPr>
        <w:footnoteReference w:id="5"/>
      </w:r>
      <w:r>
        <w:rPr>
          <w:rtl w:val="0"/>
          <w:lang w:val="fa-IR"/>
        </w:rPr>
        <w:t xml:space="preserve"> یا </w:t>
      </w:r>
      <w:r>
        <w:rPr>
          <w:rtl w:val="0"/>
          <w:lang w:val="fa-IR"/>
        </w:rPr>
        <w:t xml:space="preserve">﴿هُوَ ٱلۡأَوَّلُ وَٱلۡأٓخِرُ وَٱلظَّٰهِرُ وَٱلۡبَاطِنُ﴾</w:t>
      </w:r>
      <w:r>
        <w:rPr>
          <w:rStyle w:val="FootnoteReference"/>
        </w:rPr>
        <w:footnoteReference w:id="6"/>
      </w:r>
      <w:r>
        <w:rPr>
          <w:rtl w:val="0"/>
          <w:lang w:val="fa-IR"/>
        </w:rPr>
        <w:t xml:space="preserve"> یا «</w:t>
      </w:r>
      <w:r>
        <w:rPr>
          <w:rStyle w:val="RevayatArabi"/>
          <w:bCs/>
          <w:rtl/>
          <w:lang w:val="fa-IR"/>
        </w:rPr>
        <w:t xml:space="preserve">داخلٌ فى الأشیاءِ لا بالمُمازَجةِ و خارجٌ عنها لا بالمُزایَلة».</w:t>
      </w:r>
      <w:r>
        <w:rPr>
          <w:rStyle w:val="FootnoteReference"/>
        </w:rPr>
        <w:footnoteReference w:id="7"/>
      </w:r>
      <w:r>
        <w:rPr>
          <w:rtl w:val="0"/>
          <w:lang w:val="fa-IR"/>
        </w:rPr>
        <w:t xml:space="preserve"> ما مى‏توانیم با همین سه تصوری که می‌توانیم بكنیم [ادراك كنیم] و این سه تصور اعتبارى نیست بلكه سه تصور واقعى است كه ناشى از كیفیت لحاظ حقایق خارجى است نه كیفیت یك حقایق خارجى براساس اعتبار شخصی که آن اصلاً معنا ندارد، بلکه انسان براساس حقیقت خارجى آن معنا و حقیقت خارجى را انتزاع مى‏كند، این را انسان کاملاً مى‏تواند درك كند و بفهمد كه مقام أحدیت در لابشرطى چه تعیّنى باید در خارج داشته باشد تا انسان بتواند تصور کند، یا همان مقام أحدیت در بشرط‌لائى چطور مى‏تواند باشد یا همان مقام أحدیت در به شرط شىء بودن چطور مى‏تواند باشد؟ ما نمی‌توانیم خارج را جدا کنیم! ما نمى‏توانیم ظهورات خدا را از مُظهِر جدا كنیم و نمی‌توانیم مَظهَر را از ظهور منفك كنیم! نمى‏توانیم به یك هم‌چنین مسئله‏اى در اینجا معتقد باشیم پس در اینجا این مقام مُظهِریت و جمعش با مقام مَظهَریت و مُظهَریت و اینكه به شرط شی‏ء است چگونه با به شرط لا بودن جور درمى‏آید؟! خب خیلى راحت است، دیگر تصور در اینجا بسیار تصور راحتى است و مى‏بینیم آن مطالبى را كه مرحوم آقا شیخ محمدحسین در مقام ردّ و انكارش بودند چقدر سهل است‏ و چقدر راحت براى انسان قابل توجیه است! می‌بینیم که آن مطالبى را كه بین علمین مرحوم والد‌ و مرحوم علامه طباطبائی ـ‌ رضوان ‌الله ‌تعالی ‌علیهما ـ در بحث فنا [ردّوبدل] شد چقدر راحت شد یعنى دیگر نیاز به این‌همه بحث و فلان و جلسات متعدده ندارد، ما می‌توانیم همین حقیقت به شرط‌ شىء بودن را در آن حقیقت به شرط ‌لا بودن لحاظ كنیم. چرا؟ چون مسئله، مسئلۀ اعتبار معتَبِر نیست بلكه مسئلۀ وقوع خارجى و برداشت ما از این وقوع خارجى است و معتَبِر در اینجا نمى‏تواند حقیقت خارجى را به نفع خود تغییر بدهد.</w:t>
      </w:r>
    </w:p>
    <w:p>
      <w:pPr>
        <w:pStyle w:val="Heading6"/>
      </w:pPr>
      <w:r>
        <w:rPr>
          <w:rtl w:val="0"/>
          <w:lang w:val="fa-IR"/>
        </w:rPr>
        <w:t xml:space="preserve">تمام دعواهاى دنیا به‌خاطر دعواهاى زن و شوهر!</w:t>
      </w:r>
    </w:p>
    <w:p>
      <w:pPr/>
      <w:r>
        <w:rPr>
          <w:rtl w:val="0"/>
          <w:lang w:val="fa-IR"/>
        </w:rPr>
        <w:t xml:space="preserve">[مثلاً] الآن تصور كنم این عبایى كه الآن بر قامت جناب آقاى شیخ ... است سیاه است و پنج دقیقه دیگر بگویم که من این عبا را سفید تصور مى‏كنم! خب به من مى‏خندید و مى‏گویید که آقا حالا شما هر تصورى مى‏خواهید بكنید بكنید ولى عباى سفید، سفید است و عبای سیاه هم سیاه است. بله! ممكن است من در تشخیص آن حقیقت خارجى دچار اشتباه بشوم و این یک مطلبی است ولی حقیقت خارجى تفاوتى نخواهد كرد و یك واحد بیشتر نیست؛ اگر سیاه است سیاه است و اگر سفید است سفید است، نه‌اینكه به اعتبار من سفید یا سیاه بشود! اشیاء خارجى به اعتبار من صورت پیدا نمى‏كنند بر خلاف [نظریۀ] بعضى از همین بى‏سوادهاى نفهم غربى كه مى‏گویند: هرچه هست همان ظرف علم است و غیر از آن ظرف علم چیزى در خارج نیست. فرض کنید که امروز مى‏گویم: این سفید است و حالا فردا زنم در كله‏ام زده و كله‏ام یك مقدار ورم كرده است و چشمم یك مقدار سیاه مى‏بیند! نه‌اینكه حالا سیاه ببینم، عصبانى هستم و مى‏گویم که آقا چرا عباى سیاه پوشیدى؟! مى‏گویید: برو با زنت آشتى كن آن‌وقت همۀ عباها را سفید مى‏بینى، اگر سیاه هم باشد سفید مى‏بینى! همۀ این دعواهاى دنیا به‌خاطر دعواهاى زن و شوهر است، وقتى باهم دعوا مى‏كنند تمام عالم سیاه مى‏شود و وقتى باهم آشتى هستند همۀ عالم سفید مى‏شود! چقدر خوب است كه همیشه آدم آشتى كند نه‌اینكه در كلۀ همدیگر بزنند. پس این حقیقت خارجى در جای خودش هست و شما باید چشمت را باز كنید! بزرگان از عرفا مثل مولانا، شبستری، محى‏الدین، ابن‏فارض و حافظ مدام مى‏گویند که برو چشم دوبینت را درست كن!</w:t>
      </w:r>
    </w:p>
    <w:p>
      <w:pPr>
        <w:pStyle w:val="She'rMatn"/>
      </w:pPr>
      <w:r>
        <w:rPr>
          <w:rtl w:val="0"/>
          <w:lang w:val="fa-IR"/>
        </w:rPr>
        <w:t xml:space="preserve">رمد دارد دو چشم اهل ظاهر *** كه از ظاهر نبیند جز مظاهر</w:t>
      </w:r>
      <w:r>
        <w:rPr>
          <w:rStyle w:val="FootnoteReference"/>
        </w:rPr>
        <w:footnoteReference w:id="8"/>
      </w:r>
    </w:p>
    <w:p>
      <w:pPr>
        <w:pStyle w:val="Heading6"/>
      </w:pPr>
      <w:r>
        <w:rPr>
          <w:rtl w:val="0"/>
          <w:lang w:val="fa-IR"/>
        </w:rPr>
        <w:t xml:space="preserve">لزوم اصلاح و پرداختن به خود، نه دیگران</w:t>
      </w:r>
    </w:p>
    <w:p>
      <w:pPr/>
      <w:r>
        <w:rPr>
          <w:rtl w:val="0"/>
          <w:lang w:val="fa-IR"/>
        </w:rPr>
        <w:t xml:space="preserve">اینکه اینها مى‏گویند که برو رمد چشمت را بردار و چشمت را صحیح قرار بده، این براى این قضیه است كه به‌‌جاى اینكه نقص خود را برطرف كنیم، نقص را بر دیگران بار نكنیم! ما ناقص هستیم، ما وضعمان خراب است، ما درست تربیت نشدیم، ما سواد و بینش و اطلاعمان كم است، ما عناد داریم و چشممان را مى‏بندیم. چرا مدام مى‏گویم که آن‌طرف خراب است، آن‌طرف ناقص است، آن‌طرف كم دارد و آن‌طرف با واقعیت تطبیق نمى‏كند؟! آنچه كه مربوط به ما است به خود ببندیم و آنچه كه مربوط به آن‌طرف است به آن‌طرف ببندیم تااینكه نفع ببریم والاّ نفع نمى‏بریم! كامل بر كمال خودش است و از جایش هم تكان نمى‏خورد! اگر بنده صدهزار سال هم مدام بگویم که این عبایی كه آقاى فلان پوشیدند سیاه است و اصلاً روزى ده دور تسبیح بیندازم كه این عباى شما سیاه است، سیاه نمى‏شود! هم زحمت خودم را زیاد كردم و خودم را بیچاره و بدبخت كردم و هم بیرون را خراب و آشوب كردم! یعنى نه‌تنها عمر خودم را ازبین بردم كه هیچ، دیگر چیزى جاى او نخواهد آمد! آن عمرى كه باید صرف اصلاح خودم بشود، آن دیگر ازدست رفت! پس بلند شوم بیایم و بر عجز خود اعتراف كنم و به‌دنبال رفع نقص و فقدان‏هاى خود بكوشم.</w:t>
      </w:r>
    </w:p>
    <w:p>
      <w:pPr/>
      <w:r>
        <w:rPr>
          <w:rtl w:val="0"/>
          <w:lang w:val="fa-IR"/>
        </w:rPr>
        <w:t xml:space="preserve">در یک جریانى كه اتفاق افتاده بود و شما همه این مسائل را مى‏دانید و اطلاع دارید، یک روز من به یكى از همین اشخاص گفتم كه شما در این مطالبى كه به‌طور تهمت یا به‌نحو غیبت به دیگران مى‏بندید، فرق نمى‏كند؛ یا دارید تهمت مى‏زنید كه این افراد و دیگران‏ این خلاف‏ها را دارند و یا دارید غیبت مى‏كنید یعنى مطالبى هست و شما اظهار مى‏كنید که این آقا این‌طور است و آن آقا آن‌طور است، منظورتان چیست؟! منظور از این تهمت‏زدن به دیگران یا غیبت‏كردن از دیگران چیست؟! اگر منظور این است كه این‌طرف مقابل به كمال برسد عیب ندارد، بگویید و هر تهمتى مى‏خواهید بزنید بزنید! ولى اینكه با این تهمتى كه شما به این می‌زنید کامل نمى‏شود!</w:t>
      </w:r>
    </w:p>
    <w:p>
      <w:pPr/>
      <w:r>
        <w:rPr>
          <w:rtl w:val="0"/>
          <w:lang w:val="fa-IR"/>
        </w:rPr>
        <w:t xml:space="preserve">فرض كنید الآن بگویم: عبایى كه شما پوشیدید سیاه است عباى شما سفید نمى‏شود، فقط یك مطلب خلافی را گفتم. اگر با این سیاه گفتن عباى شما سفید مى‏شد عیب نداشت، باز جایى داشت که حالا تهمت هم بزنیم و غیبت هم بكنیم بالأخره عباى شما سفید شد! برو آن‌طرف را درست كن، چرا مدام به این‌طرف تهمت مى‏زنى و غیبت و ... مى‏كنى؟! شما همین‏قدر برو براى افراد، [به] کمال دلیل بیاور [آن‌وقت] دیگر نیازى نیست به دیگران تهمت بزنى، همه هم قبول مى‏كنند، اینكه داعى ندارد. اینكه تو به دیگرى تهمت مى‏زنى معلوم است این‌طرف چیزی نیست چون وقتى در كوزه انسان آب هست مدام به دیگران نمی‌گوید که كوزۀ تو خالى است! خب خالى باشد یا نباشد. وقتى من الآن در كوزه‏ام آب هست خب آب هست دیگر، دیگر نیازى نیست که من به دیگران بگویم که شما نصیب ندارید، آب ندارید، تشنه هستید و چه هستید! حالا یا هستند یا نیستند. پس معلوم است که این‌هم طبل توخالى است و چون نمى‏تواند بگوید که من توخالى هستم مى‏گوید که خیال نكنید من توخالى هستم بقیۀ طبل‏ها هم توخالى است! خیلى خب بقیۀ طبل‏ها توخالى هستند، طبل تو كه پر نمى‏شود! اینکه بقیۀ طبل‏ها توخالى هستند باعث نمى‏شود طبل تو پر بشود! و این صداى توخالى بودن و دَنگ را مى‏دهد! پس ما به‌جاى اینكه مدام بر دیگران نقص ببندیم که این نمى‏فهمد و [عقلش] نمى‏رسد، خودمان را درست كنیم و بالا ببریم و نسبت به این قضیه و مسئله، مسیر خودمان را اصلاح كنیم.</w:t>
      </w:r>
    </w:p>
    <w:p>
      <w:pPr/>
      <w:r>
        <w:rPr>
          <w:rtl w:val="0"/>
          <w:lang w:val="fa-IR"/>
        </w:rPr>
        <w:t xml:space="preserve">مرحوم آخوند مى‏خواهند بفرمایند که انسان باید آنچه كه در خارج هست را همان‌طورى‌كه در خارج هست استنباط و ادراك كند، اگر لابشرط مى‏خواهد باید بفهمد که منظور از لابشرط بودن چیست؟ اگر به شرط‌ شىء بودن هست باید بداند منظور از به شرط شیء بودن چیست؟ و اگر لابشرط‌شی‏ء هست درآن‌صورت انسان باید منظور را بداند! بنابراین در اینجا لحاظ مسئلۀ جنس و فصل به لابشرط‌شیئی بودن است یعنى وقتى که شما حقیقتى را تصور مى‏كنید كه خود او را درنظر مى‏آورید و در اینجا حتى نمى‏توانید بگویید: </w:t>
      </w:r>
      <w:r>
        <w:rPr>
          <w:rStyle w:val="Arabi"/>
          <w:rtl w:val="0"/>
          <w:lang w:val="fa-IR"/>
        </w:rPr>
        <w:t xml:space="preserve">الحیوانُ ناطقٌ،</w:t>
      </w:r>
      <w:r>
        <w:rPr>
          <w:rtl w:val="0"/>
          <w:lang w:val="fa-IR"/>
        </w:rPr>
        <w:t xml:space="preserve"> چون آن تصورى كه در اینجا از حیوان كردید، حیوانِ به‌عنوان یك حقیقت است كه فقط جنس مى‏تواند واقع بشود و جزئى از یك مركب است، وقتى که این‌طور باشد پس باید خود او را در حمل بر حیوان، محمول قرار بدهیم. وقتى که مى‏گویید:</w:t>
      </w:r>
      <w:r>
        <w:rPr>
          <w:rStyle w:val="Arabi"/>
          <w:rtl w:val="0"/>
          <w:lang w:val="fa-IR"/>
        </w:rPr>
        <w:t xml:space="preserve"> الحیوان</w:t>
      </w:r>
      <w:r>
        <w:rPr>
          <w:rtl w:val="0"/>
          <w:lang w:val="fa-IR"/>
        </w:rPr>
        <w:t xml:space="preserve">، بگویید که </w:t>
      </w:r>
      <w:r>
        <w:rPr>
          <w:rStyle w:val="Arabi"/>
          <w:rtl w:val="0"/>
          <w:lang w:val="fa-IR"/>
        </w:rPr>
        <w:t xml:space="preserve">الحیوانُ حیوانٌ</w:t>
      </w:r>
      <w:r>
        <w:rPr>
          <w:rtl w:val="0"/>
          <w:lang w:val="fa-IR"/>
        </w:rPr>
        <w:t xml:space="preserve">. ما در فارسى هم مى‏گوییم؛ مى‏گوییم که آدم، آدم است و الاغ هم الاغ است، اینها را باهم اشتباه نمى‏كنیم. آب، آب است و خاك هم خاك است، اینها را در جای همدیگر نمی‌گذاریم! یعنى هركدام ماهیت خودش را دارد و هیچ‌کدام دیگرى نخواهد شد. اینكه مى‏گوییم: هیچ‌کدام دیگرى نخواهد شد، در همین محاوراتى كه خودمان داریم نظر به این مسئله داریم كه خود آن شخص را در این نظر مورد توجه قرار دادیم، نه‌اینكه بخواهیم به‌واسطۀ عروض عوارض جای این دو موضوع را عوض كنیم. مى‏گوییم که مرحوم آقا ـ رضوان ‌الله‌ تعالی ‌علیه ـ مرحوم آقاست و ما هم ما هستیم و به‌اصطلاح هركدام جای خودمان را داریم و حساب‌وكتاب خودمان را داریم! نباید خودمان را جاى بزرگان بگذاریم و نباید آن ردایى كه بر قامت بزرگان زیبا و مناسب است را بر قامت خود بپوشانیم! این دیگر ناشى از همین قضیه است كه باید هركدام در جا و موقعیت خودش قرار بگیرد؛ وقتى مى‏گوییم که </w:t>
      </w:r>
      <w:r>
        <w:rPr>
          <w:rStyle w:val="Arabi"/>
          <w:rtl w:val="0"/>
          <w:lang w:val="fa-IR"/>
        </w:rPr>
        <w:t xml:space="preserve">الحیوان</w:t>
      </w:r>
      <w:r>
        <w:rPr>
          <w:rtl w:val="0"/>
          <w:lang w:val="fa-IR"/>
        </w:rPr>
        <w:t xml:space="preserve"> و مقصود ما حیوان لابشرط‌شی‏ء است یا معناى بشرط‌لائى است، هردو در اینجا یكى است، [اینکه می‌گوییم که] چیزى ضمیمۀ او نشود یعنی خود او مدّنظر ما است؛ همان حقیقتى كه آن حقیقت جزء یك مجموعى است كه آن مجموع را نوع تشكیل مى‏دهد و جزء کاملاً از جزء دیگر جداست و این جزء یك مفهوم و تصورى دارد و این جزء دیگر كه فصل است یك مفهوم و تصورى از او دارد.</w:t>
      </w:r>
    </w:p>
    <w:p>
      <w:pPr/>
      <w:r>
        <w:rPr>
          <w:rtl w:val="0"/>
          <w:lang w:val="fa-IR"/>
        </w:rPr>
        <w:t xml:space="preserve">پس در این حمل، آنچه كه مى‏تواند براى این موضوع محمول قرار بگیرد خودش است مثل اینكه مى‏گوییم: </w:t>
      </w:r>
      <w:r>
        <w:rPr>
          <w:rStyle w:val="Arabi"/>
          <w:rtl w:val="0"/>
          <w:lang w:val="fa-IR"/>
        </w:rPr>
        <w:t xml:space="preserve">زیدٌ زیدٌ</w:t>
      </w:r>
      <w:r>
        <w:rPr>
          <w:rtl w:val="0"/>
          <w:lang w:val="fa-IR"/>
        </w:rPr>
        <w:t xml:space="preserve">. همان‌طوری‌که در </w:t>
      </w:r>
      <w:r>
        <w:rPr>
          <w:rStyle w:val="Arabi"/>
          <w:rtl w:val="0"/>
          <w:lang w:val="fa-IR"/>
        </w:rPr>
        <w:t xml:space="preserve">زیدٌ زیدٌ</w:t>
      </w:r>
      <w:r>
        <w:rPr>
          <w:rtl w:val="0"/>
          <w:lang w:val="fa-IR"/>
        </w:rPr>
        <w:t xml:space="preserve"> و </w:t>
      </w:r>
      <w:r>
        <w:rPr>
          <w:rStyle w:val="Arabi"/>
          <w:rtl w:val="0"/>
          <w:lang w:val="fa-IR"/>
        </w:rPr>
        <w:t xml:space="preserve">عمروٌ عمروٌ</w:t>
      </w:r>
      <w:r>
        <w:rPr>
          <w:rtl w:val="0"/>
          <w:lang w:val="fa-IR"/>
        </w:rPr>
        <w:t xml:space="preserve"> و </w:t>
      </w:r>
      <w:r>
        <w:rPr>
          <w:rStyle w:val="Arabi"/>
          <w:rtl w:val="0"/>
          <w:lang w:val="fa-IR"/>
        </w:rPr>
        <w:t xml:space="preserve">حَجَرٌ حَجَرٌ</w:t>
      </w:r>
      <w:r>
        <w:rPr>
          <w:rtl w:val="0"/>
          <w:lang w:val="fa-IR"/>
        </w:rPr>
        <w:t xml:space="preserve"> هركدام از اینها به حمل </w:t>
      </w:r>
      <w:r>
        <w:rPr>
          <w:rStyle w:val="Arabi"/>
          <w:rtl w:val="0"/>
          <w:lang w:val="fa-IR"/>
        </w:rPr>
        <w:t xml:space="preserve">هوَ هو</w:t>
      </w:r>
      <w:r>
        <w:rPr>
          <w:rtl w:val="0"/>
          <w:lang w:val="fa-IR"/>
        </w:rPr>
        <w:t xml:space="preserve"> همان موضوع خواهد بود، در اینجا هم حیوان به حمل </w:t>
      </w:r>
      <w:r>
        <w:rPr>
          <w:rStyle w:val="Arabi"/>
          <w:rtl w:val="0"/>
          <w:lang w:val="fa-IR"/>
        </w:rPr>
        <w:t xml:space="preserve">هوَ هو</w:t>
      </w:r>
      <w:r>
        <w:rPr>
          <w:rtl w:val="0"/>
          <w:lang w:val="fa-IR"/>
        </w:rPr>
        <w:t xml:space="preserve"> نمى‏تواند ناطق باشد یا نمى‏توانیم بگوییم: </w:t>
      </w:r>
      <w:r>
        <w:rPr>
          <w:rStyle w:val="Arabi"/>
          <w:rtl w:val="0"/>
          <w:lang w:val="fa-IR"/>
        </w:rPr>
        <w:t xml:space="preserve">الحیوانُ انسانٌ</w:t>
      </w:r>
      <w:r>
        <w:rPr>
          <w:rtl w:val="0"/>
          <w:lang w:val="fa-IR"/>
        </w:rPr>
        <w:t xml:space="preserve">، اگر بگوییم: </w:t>
      </w:r>
      <w:r>
        <w:rPr>
          <w:rStyle w:val="Arabi"/>
          <w:rtl w:val="0"/>
          <w:lang w:val="fa-IR"/>
        </w:rPr>
        <w:t xml:space="preserve">الحیوانُ انسانٌ</w:t>
      </w:r>
      <w:r>
        <w:rPr>
          <w:rtl w:val="0"/>
          <w:lang w:val="fa-IR"/>
        </w:rPr>
        <w:t xml:space="preserve"> یا </w:t>
      </w:r>
      <w:r>
        <w:rPr>
          <w:rStyle w:val="Arabi"/>
          <w:rtl w:val="0"/>
          <w:lang w:val="fa-IR"/>
        </w:rPr>
        <w:t xml:space="preserve">الإنسانُ حیوانٌ</w:t>
      </w:r>
      <w:r>
        <w:rPr>
          <w:rtl w:val="0"/>
          <w:lang w:val="fa-IR"/>
        </w:rPr>
        <w:t xml:space="preserve">، انسان در اینجا مركب از جنس و فصل است پس ما دیگر در اینجا حیوان را لابشرط‌شىء و بشرط‌لا تصور نكردیم بلکه ما حیوان را لابشرط‌ تصور كردیم؛ لابشرط‌شیء و لابشرط </w:t>
      </w:r>
      <w:r>
        <w:rPr>
          <w:rStyle w:val="Arabi"/>
          <w:rtl w:val="0"/>
          <w:lang w:val="fa-IR"/>
        </w:rPr>
        <w:t xml:space="preserve">أن لا یَکونَ شی‏ء</w:t>
      </w:r>
      <w:r>
        <w:rPr>
          <w:rtl w:val="0"/>
          <w:lang w:val="fa-IR"/>
        </w:rPr>
        <w:t xml:space="preserve">، هیچ‌کدام از این دو موردنظر نیست كه درآن‌صورت مى‏تواند با ناطق هم جمع بشود ولى در اینجا نمى‏تواند جمع بشود. </w:t>
      </w:r>
      <w:r>
        <w:rPr>
          <w:rStyle w:val="Arabi"/>
          <w:rtl w:val="0"/>
          <w:lang w:val="fa-IR"/>
        </w:rPr>
        <w:t xml:space="preserve">الحیوانُ حیوانٌ</w:t>
      </w:r>
      <w:r>
        <w:rPr>
          <w:rtl w:val="0"/>
          <w:lang w:val="fa-IR"/>
        </w:rPr>
        <w:t xml:space="preserve">، حیوان حیوان است و ناطق هم ناطق است و هركدام از این دوتا جایگاه خودشان را دارند.</w:t>
      </w:r>
    </w:p>
    <w:p>
      <w:pPr>
        <w:pStyle w:val="Heading6"/>
      </w:pPr>
      <w:r>
        <w:rPr>
          <w:rtl w:val="0"/>
          <w:lang w:val="fa-IR"/>
        </w:rPr>
        <w:t xml:space="preserve">معنای فصل</w:t>
      </w:r>
    </w:p>
    <w:p>
      <w:pPr/>
      <w:r>
        <w:rPr>
          <w:rtl w:val="0"/>
          <w:lang w:val="fa-IR"/>
        </w:rPr>
        <w:t xml:space="preserve">سراغ ناطق می‌آییم كه فصل است، فصل به‌عنوان حقیقتى است كه آن حقیقت تخصیص‌‏دهنده و تشخّص‏دهنده و تعیّن‏دهندۀ این جنس است که ما اسم آن را ما فصل مى‏گذاریم بنابراین در این حقیقت فصلیه هیچ‌وقت حیوان دخالتى ندارد و در حقیقت فصلیه، خود فصل است یعنى خود این فصل فى‌حدّ‌نفسه موردنظر قرار مى‏گیرد. پس اگر بگوییم كه مفهوم ناطق چیست؟ دیگر نمى‏توانیم حیوان را درقبال این تعریفى كه براى مفهوم ناطق مى‏آوریم دخالت بدهیم، حیوان با ناطق فرق مى‏كند. در جایى كه این دو بخواهند باهم آشتى كنند، در آنجا مى‏توانیم بگوییم که </w:t>
      </w:r>
      <w:r>
        <w:rPr>
          <w:rStyle w:val="Arabi"/>
          <w:rtl w:val="0"/>
          <w:lang w:val="fa-IR"/>
        </w:rPr>
        <w:t xml:space="preserve">الحیوانُ ناطِقٌ</w:t>
      </w:r>
      <w:r>
        <w:rPr>
          <w:rtl w:val="0"/>
          <w:lang w:val="fa-IR"/>
        </w:rPr>
        <w:t xml:space="preserve"> یااینكه بگوییم: </w:t>
      </w:r>
      <w:r>
        <w:rPr>
          <w:rStyle w:val="Arabi"/>
          <w:rtl w:val="0"/>
          <w:lang w:val="fa-IR"/>
        </w:rPr>
        <w:t xml:space="preserve">الناطِقُ حیوانٌ؛</w:t>
      </w:r>
      <w:r>
        <w:rPr>
          <w:rtl w:val="0"/>
          <w:lang w:val="fa-IR"/>
        </w:rPr>
        <w:t xml:space="preserve"> ناطق همان حیوان است و حیوان هم همان ناطق است یعنى با همدیگر سر جنگ و نزاع ندارند اما اگر بخواهیم خود مفهوم را فى‌حدّ‌نفسه مورد توجه قرار بدهیم، دیگر در اینجا نمى‏توانیم بگوییم: </w:t>
      </w:r>
      <w:r>
        <w:rPr>
          <w:rStyle w:val="Arabi"/>
          <w:rtl w:val="0"/>
          <w:lang w:val="fa-IR"/>
        </w:rPr>
        <w:t xml:space="preserve">الناطِقُ ناطِقٌ</w:t>
      </w:r>
      <w:r>
        <w:rPr>
          <w:rtl w:val="0"/>
          <w:lang w:val="fa-IR"/>
        </w:rPr>
        <w:t xml:space="preserve">! نمى‏توانیم‏ بگوییم: </w:t>
      </w:r>
      <w:r>
        <w:rPr>
          <w:rStyle w:val="Arabi"/>
          <w:rtl w:val="0"/>
          <w:lang w:val="fa-IR"/>
        </w:rPr>
        <w:t xml:space="preserve">الإنسانُ حیوانٌ</w:t>
      </w:r>
      <w:r>
        <w:rPr>
          <w:rtl w:val="0"/>
          <w:lang w:val="fa-IR"/>
        </w:rPr>
        <w:t xml:space="preserve">! نمى‏توانیم بگوییم: </w:t>
      </w:r>
      <w:r>
        <w:rPr>
          <w:rStyle w:val="Arabi"/>
          <w:rtl w:val="0"/>
          <w:lang w:val="fa-IR"/>
        </w:rPr>
        <w:t xml:space="preserve">الحیوانُ إنسانٌ</w:t>
      </w:r>
      <w:r>
        <w:rPr>
          <w:rtl w:val="0"/>
          <w:lang w:val="fa-IR"/>
        </w:rPr>
        <w:t xml:space="preserve">! نمى‏توانیم بگوییم: </w:t>
      </w:r>
      <w:r>
        <w:rPr>
          <w:rStyle w:val="Arabi"/>
          <w:rtl w:val="0"/>
          <w:lang w:val="fa-IR"/>
        </w:rPr>
        <w:t xml:space="preserve">الناطِقُ حیوانٌ مُنضَمٌّ إلَیهِ النُطق</w:t>
      </w:r>
      <w:r>
        <w:rPr>
          <w:rtl w:val="0"/>
          <w:lang w:val="fa-IR"/>
        </w:rPr>
        <w:t xml:space="preserve">! نمى‏توانیم هیچ‌کدام از اینها را بگوییم. این معنا، معناى لابشرطیت و به شرط‌ لا بودن جنس و همین‌طور معناى فصل است.</w:t>
      </w:r>
    </w:p>
    <w:p>
      <w:pPr>
        <w:pStyle w:val="Heading6"/>
      </w:pPr>
      <w:r>
        <w:rPr>
          <w:rtl w:val="0"/>
          <w:lang w:val="fa-IR"/>
        </w:rPr>
        <w:t xml:space="preserve">تعریف ماده</w:t>
      </w:r>
    </w:p>
    <w:p>
      <w:pPr/>
      <w:r>
        <w:rPr>
          <w:rtl w:val="0"/>
          <w:lang w:val="fa-IR"/>
        </w:rPr>
        <w:t xml:space="preserve">آن‌وقت اگر شما بخواهید همین مفهوم جنس را در نوع ملاحظه كنید و بخواهید لابشرط‌شی‏ء در نظر بیاورید، در وجود خارج اسمش ماده مى‏شود. پس ماده عبارت از یک ظرفیت و حقیقت و تعیّن خارجی است، ماده متعیّن است حالا تعیّنش تعیّن ابهامى است، اشكالی ندارد ولى خود همین ماده عبارت از همان جنس است كه در اینجا لابشرط‌شیء‏ یا بشرط‌لا اخذ شده است و در اینجا تفاوتى ندارد كه ما فى‌حدّ‌نفسه براى او از نظر خارج همان معنا را مى‏كنیم كه براى جنس از نظر كلى در ارتباط با نوع معنا كردیم و وقتى این حقیقت بخواهد تنهایى موردنظر قرار بگیرد اسمش را جنس مى‏گذاریم و اگر آن حقیقت فصلیت تنهایى مورد تصور قرار بگیرد اسمش را فصل می‌گذاریم و همین حقیقت در خارج، ماده مى‏شود یعنى ماده عبارت از مصداق و مَحكىِ آن جنس است كه آن جزئى از تعیّن خارج است و یك امر دیگر باید ضمیمۀ این جزء بشود که آن امر دیگر همان فصلى است كه ما آن فصل را منحاز از جنس تصور كردیم و اسم آن صورت مى‏شود. پس صورت و ماده همان مصداق جنس و فصلى است كه ما در آن نوع مورد توجه قرار دادیم.</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نوین</w:t>
      </w:r>
      <w:r>
        <w:rPr>
          <w:rtl w:val="0"/>
          <w:lang w:val="fa-IR"/>
        </w:rPr>
        <w:t xml:space="preserve"> اثر محمدتقی شریعتی است. (محقق)</w:t>
      </w:r>
    </w:p>
  </w:footnote>
  <w:footnote w:id="3">
    <w:p>
      <w:pPr>
        <w:pStyle w:val="FootnoteText"/>
      </w:pPr>
      <w:r>
        <w:rPr>
          <w:rStyle w:val="FootnoteReference"/>
        </w:rPr>
        <w:footnoteRef/>
      </w:r>
      <w:r>
        <w:t xml:space="preserve"> </w:t>
      </w:r>
      <w:r>
        <w:rPr>
          <w:rtl w:val="0"/>
          <w:lang w:val="fa-IR"/>
        </w:rPr>
        <w:t xml:space="preserve">. سوره حدید (57) آیه 4. </w:t>
      </w:r>
      <w:r>
        <w:rPr>
          <w:rtl w:val="0"/>
          <w:lang w:val="fa-IR"/>
        </w:rPr>
        <w:t xml:space="preserve">امام ‌شناسی</w:t>
      </w:r>
      <w:r>
        <w:rPr>
          <w:rtl w:val="0"/>
          <w:lang w:val="fa-IR"/>
        </w:rPr>
        <w:t xml:space="preserve">، ج 12، ص 375:</w:t>
      </w:r>
    </w:p>
    <w:p>
      <w:pPr>
        <w:pStyle w:val="FootnoteText"/>
      </w:pPr>
      <w:r>
        <w:rPr>
          <w:rtl w:val="0"/>
          <w:lang w:val="fa-IR"/>
        </w:rPr>
        <w:t xml:space="preserve">«او با شماست هر جا بوده باشید.»</w:t>
      </w:r>
    </w:p>
  </w:footnote>
  <w:footnote w:id="4">
    <w:p>
      <w:pPr>
        <w:pStyle w:val="FootnoteText"/>
      </w:pPr>
      <w:r>
        <w:rPr>
          <w:rStyle w:val="FootnoteReference"/>
        </w:rPr>
        <w:footnoteRef/>
      </w:r>
      <w:r>
        <w:t xml:space="preserve"> </w:t>
      </w:r>
      <w:r>
        <w:rPr>
          <w:rtl w:val="0"/>
          <w:lang w:val="fa-IR"/>
        </w:rPr>
        <w:t xml:space="preserve">. سوره بقره (2) آیه 115. </w:t>
      </w:r>
      <w:r>
        <w:rPr>
          <w:rtl w:val="0"/>
          <w:lang w:val="fa-IR"/>
        </w:rPr>
        <w:t xml:space="preserve">الله‌ شناسی</w:t>
      </w:r>
      <w:r>
        <w:rPr>
          <w:rtl w:val="0"/>
          <w:lang w:val="fa-IR"/>
        </w:rPr>
        <w:t xml:space="preserve">، ج 2، ص 257:</w:t>
      </w:r>
    </w:p>
    <w:p>
      <w:pPr>
        <w:pStyle w:val="FootnoteText"/>
      </w:pPr>
      <w:r>
        <w:rPr>
          <w:rtl w:val="0"/>
          <w:lang w:val="fa-IR"/>
        </w:rPr>
        <w:t xml:space="preserve">«پس به هر جانب روى خود را بگردانید، در آنجا وجه خدا وجود دارد.»</w:t>
      </w:r>
    </w:p>
  </w:footnote>
  <w:footnote w:id="5">
    <w:p>
      <w:pPr>
        <w:pStyle w:val="FootnoteText"/>
      </w:pPr>
      <w:r>
        <w:rPr>
          <w:rStyle w:val="FootnoteReference"/>
        </w:rPr>
        <w:footnoteRef/>
      </w:r>
      <w:r>
        <w:t xml:space="preserve"> </w:t>
      </w:r>
      <w:r>
        <w:rPr>
          <w:rtl w:val="0"/>
          <w:lang w:val="fa-IR"/>
        </w:rPr>
        <w:t xml:space="preserve">. سوره زخرف (43) آیه 84.</w:t>
      </w:r>
      <w:r>
        <w:rPr>
          <w:rtl w:val="0"/>
          <w:lang w:val="fa-IR"/>
        </w:rPr>
        <w:t xml:space="preserve"> الله‌ شناسی</w:t>
      </w:r>
      <w:r>
        <w:rPr>
          <w:rtl w:val="0"/>
          <w:lang w:val="fa-IR"/>
        </w:rPr>
        <w:t xml:space="preserve">، ج 2، ص 181:</w:t>
      </w:r>
    </w:p>
    <w:p>
      <w:pPr>
        <w:pStyle w:val="FootnoteText"/>
      </w:pPr>
      <w:r>
        <w:rPr>
          <w:rtl w:val="0"/>
          <w:lang w:val="fa-IR"/>
        </w:rPr>
        <w:t xml:space="preserve">«و اوست آن‏كس كه در آسمان معبود است و در زمین معبود است.»</w:t>
      </w:r>
    </w:p>
  </w:footnote>
  <w:footnote w:id="6">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الله ‌شناسی</w:t>
      </w:r>
      <w:r>
        <w:rPr>
          <w:rtl w:val="0"/>
          <w:lang w:val="fa-IR"/>
        </w:rPr>
        <w:t xml:space="preserve">، ج 12، ص 257:</w:t>
      </w:r>
    </w:p>
    <w:p>
      <w:pPr>
        <w:pStyle w:val="FootnoteText"/>
      </w:pPr>
      <w:r>
        <w:rPr>
          <w:rtl w:val="0"/>
          <w:lang w:val="fa-IR"/>
        </w:rPr>
        <w:t xml:space="preserve">«اوست اوّل، و اوست آخر، و اوست ظاهر، و اوست باطن.»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فصوص الحكم</w:t>
      </w:r>
      <w:r>
        <w:rPr>
          <w:rtl w:val="0"/>
          <w:lang w:val="fa-IR"/>
        </w:rPr>
        <w:t xml:space="preserve">، قیصرى، ص 27 به نقل از امیرالمؤمنین علیه‏السّلام؛ </w:t>
      </w:r>
      <w:r>
        <w:rPr>
          <w:rtl w:val="0"/>
          <w:lang w:val="fa-IR"/>
        </w:rPr>
        <w:t xml:space="preserve">شرح مثنوى</w:t>
      </w:r>
      <w:r>
        <w:rPr>
          <w:rtl w:val="0"/>
          <w:lang w:val="fa-IR"/>
        </w:rPr>
        <w:t xml:space="preserve">، ج 3، سبزوارى، ص 455 و ص 509. این مضمون با عبارات مختلف از امیرالمؤمنین علیه‏السّلام نقل شده؛ </w:t>
      </w:r>
      <w:r>
        <w:rPr>
          <w:rtl w:val="0"/>
          <w:lang w:val="fa-IR"/>
        </w:rPr>
        <w:t xml:space="preserve">التوحید</w:t>
      </w:r>
      <w:r>
        <w:rPr>
          <w:rtl w:val="0"/>
          <w:lang w:val="fa-IR"/>
        </w:rPr>
        <w:t xml:space="preserve">، ص 306؛ </w:t>
      </w:r>
      <w:r>
        <w:rPr>
          <w:rtl w:val="0"/>
          <w:lang w:val="fa-IR"/>
        </w:rPr>
        <w:t xml:space="preserve">الأمالى</w:t>
      </w:r>
      <w:r>
        <w:rPr>
          <w:rtl w:val="0"/>
          <w:lang w:val="fa-IR"/>
        </w:rPr>
        <w:t xml:space="preserve">، شیخ صدوق، ص 342 و 343: «</w:t>
      </w:r>
      <w:r>
        <w:rPr>
          <w:rStyle w:val="RevayatArabi"/>
          <w:rtl w:val="0"/>
          <w:lang w:val="fa-IR"/>
        </w:rPr>
        <w:t xml:space="preserve">هو فى الأشیاءِ على غیرِ مُمازَجَة، خارجٌ مِنها على غیرِ مُبایَنَة</w:t>
      </w:r>
      <w:r>
        <w:rPr>
          <w:rtl w:val="0"/>
          <w:lang w:val="fa-IR"/>
        </w:rPr>
        <w:t xml:space="preserve">. ... </w:t>
      </w:r>
      <w:r>
        <w:rPr>
          <w:rStyle w:val="RevayatArabi"/>
          <w:rtl w:val="0"/>
          <w:lang w:val="fa-IR"/>
        </w:rPr>
        <w:t xml:space="preserve">داخلٌ فى الأشیاءِ لا کَشَى‏ءٍ فى شى‏ءٍ داخل، و خارجٌ منها لا کَشَى‏ءٍ مِن شَى‏ءٍ خارج</w:t>
      </w:r>
      <w:r>
        <w:rPr>
          <w:rtl w:val="0"/>
          <w:lang w:val="fa-IR"/>
        </w:rPr>
        <w:t xml:space="preserve">.» (محقق)</w:t>
      </w:r>
    </w:p>
    <w:p>
      <w:pPr>
        <w:pStyle w:val="FootnoteText"/>
      </w:pPr>
      <w:r>
        <w:rPr>
          <w:rtl w:val="0"/>
          <w:lang w:val="fa-IR"/>
        </w:rPr>
        <w:t xml:space="preserve">نهج البلاغة</w:t>
      </w:r>
      <w:r>
        <w:rPr>
          <w:rtl w:val="0"/>
          <w:lang w:val="fa-IR"/>
        </w:rPr>
        <w:t xml:space="preserve"> (صبحی صالح)، ص 40: «</w:t>
      </w:r>
      <w:r>
        <w:rPr>
          <w:rStyle w:val="RevayatArabi"/>
          <w:rtl w:val="0"/>
          <w:lang w:val="fa-IR"/>
        </w:rPr>
        <w:t xml:space="preserve">معَ کلِّ شى‏ءٍ لا بمُقارَنَة، و غیر کلِّ شَى‏ءٍ لا بمُزایَلَة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