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نه</w:t>
      </w:r>
    </w:p>
    <w:p>
      <w:pPr>
        <w:pStyle w:val="Heading5"/>
      </w:pPr>
      <w:r>
        <w:rPr>
          <w:rtl w:val="0"/>
          <w:lang w:val="fa-IR"/>
        </w:rPr>
        <w:t xml:space="preserve">بحث در ماهیت غیر مبهمه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الثالثُ أنَّه جَعَلَ غیرَ المبهمِ مِن أقسامِ المأخوذِ بلا شرطِ شی‌ءٍ</w:t>
      </w:r>
      <w:r>
        <w:rPr>
          <w:rtl w:val="0"/>
          <w:lang w:val="fa-IR"/>
        </w:rPr>
        <w:t xml:space="preserve">.</w:t>
      </w:r>
      <w:r>
        <w:rPr>
          <w:rStyle w:val="FootnoteReference"/>
        </w:rPr>
        <w:footnoteReference w:id="1"/>
      </w:r>
    </w:p>
    <w:p>
      <w:pPr/>
      <w:r>
        <w:rPr>
          <w:rtl w:val="0"/>
          <w:lang w:val="fa-IR"/>
        </w:rPr>
        <w:t xml:space="preserve">نیاز به بحث خارج نیست فقط از روی متن تطبیق می‌کنیم.</w:t>
      </w:r>
    </w:p>
    <w:p>
      <w:pPr/>
      <w:r>
        <w:rPr>
          <w:rtl w:val="0"/>
          <w:lang w:val="fa-IR"/>
        </w:rPr>
        <w:t xml:space="preserve">بحث جلسۀ قبل راجع به ماهیت مأخوذه بشرط‌لائى بود ـ یعنى به شرط وحدت بودن ـ كه مرحوم شیخ فرموده بودند: وقتى شما جنس را بشرط‌لا بگیرید همان حقیقت ذاتى خودش را در آنجا ارائه مى‏دهد كه همان معناى حیوانیتى كه از فصول و عوارض و زوائد خودش متمایز است را ارائه مى‏دهد حالا همان را ممكن است شما بشرط‌شی‏ء بگیرید یعنى به شرط تركیب با فصل تصور كنید بعد ایراد وارد شد كه چطور یك ماهیت وقتى كه در ذات خودش بشرط‌لا هست این را معتبِر مى‏تواند بشرط‌شی‏ء تصور كند؛ مگر یك شی‏ء مى‏تواند از آن حقیقت خودش انقلاب پیدا كند؟!</w:t>
      </w:r>
    </w:p>
    <w:p>
      <w:pPr/>
      <w:r>
        <w:rPr>
          <w:rtl w:val="0"/>
          <w:lang w:val="fa-IR"/>
        </w:rPr>
        <w:t xml:space="preserve">جوابش هم مشخص است كه منظور شیخ از اینكه مى‏فرماید: این جنس در تعریفِ كُنه خودش و حقیقت و ذات خودش این است كه بشرط‌لا اخذ بشود معنایش این است كه براى ارائۀ هویت خودش احتیاجى به ضمّ ضمیمه ندارد. شما وقتى كه مى‏خواهید حیوان را تعریف كنید نیاز نیست فصل را هم تعریف كنید اگر بخواهید فصل را تعریف كنید پس حیوان را تعریف نكرده‌اید؛ حیوان كه جنس است در همان حقیقت .... این به‌خاطر یک جهت اشتراطى كه خدمتتان راجع به مسئلۀ وجود عرض مى‏كنم یك مسئله‏اى است كه قابل تأمّل و دقت است! در حیوان خود نفس حیوان باید از نقطه‌نظر كنه و حقیقتش براى انسان مشخص بشود حالا این فصلى كه بر حیوان بار مى‏شود چه فصلى است این یك مطلب دیگرى است زیرا اگر خود فصل در تعریف و شناخت حیوان و حقیقت حیوان تأثیر داشته باشد لازمه‏اش این است كه قسیم‏الشی‏ء كه انواع دیگر براى این فصل است در تعریف ذاتى خودِ این نوع مدخلیت داشته باشد و این خلاف است؛ انسان براى خودش نوعى است و غنم هم براى خودش نوعى است و حمار هم نوع دیگرى است و هیچ‌کدام از اینها نه از نقطه‌نظر وجود خارجى و نه از نقطه‌نظر شناخت ماهویت ارتباطى به دیگرى ندارند. فرض كنید اگر در دنیا حمار نباشد شما انسان را متوجه نمى‏شوید؟! خب شاید راجع به بعضى‏ها متوجه نشوید ولى نسبت به بعضى دیگر نه، در شناخت اینها احتیاجى به دیدن حمار نیست مثل بزرگان که اگر حمار در این دنیا باشد یا نباشد شما مى‏توانید این بزرگان را ادراك كنید! ولى خب سایر افراد شاید چنین مسئله‏اى را نداشته باشند! علیٰ‌کلِّ‌حال این حمار نیازى ندارد!</w:t>
      </w:r>
    </w:p>
    <w:p>
      <w:pPr/>
      <w:r>
        <w:rPr>
          <w:rtl w:val="0"/>
          <w:lang w:val="fa-IR"/>
        </w:rPr>
        <w:t xml:space="preserve">وقتی كه شما مى‏خواهید این حیوانیت انسان را ادراك كنید، این‌طور نیست که احتیاج داشته باشید بر اینكه فصل را ضمیمه كنید چون فصل امرِ مغایر با جنس است و این امرِ مغایر، منضم با جنس مى‏شود و در انضمامش نوع تشكیل مى‏شود و اگر فصل دخالتى در آن حقیقت جنس داشته باشد این دلیل آن خواهد شد كه خود جنس در هویت خودش ـ در خود ماهیت و مفهوم خودش ـ ناتمام است و نیازى به یک فصلى دارد كه آن مفهوم را تمام كند و علاوۀ بر اینكه آن فصل خودش باعث مى‏شود كه در تركیب بین آن جنس و فصل، سایر فصول هم به همان میزانى كه‏ این فصل ناطقیت در حیوان مى‏تواند دخالت داشته باشد، سایر فصول هم مى‏توانند دخالت داشته باشند چون در اینجا ترجیحى وجود ندارد كه یك فصل در مفهوم حیوان تأثیرگذار باشد و سایر فصول این‌طور نباشند.</w:t>
      </w:r>
    </w:p>
    <w:p>
      <w:pPr/>
      <w:r>
        <w:rPr>
          <w:rtl w:val="0"/>
          <w:lang w:val="fa-IR"/>
        </w:rPr>
        <w:t xml:space="preserve">اشكال دیگرى كه در اینجا مطرح است این است كه در خود جنس هم تركیب لازم مى‏آید چون جنس در آن ارائۀ هویت و مفهوم خودش نیاز به امر دیگرى دارد پس این جنس، خودش مركب است و باید نقل كلام در آن قسمت اشتراک بین او و این جنسى بكنیم كه الآن این ناطقیت آمده تتمیم هویت كرده و </w:t>
      </w:r>
      <w:r>
        <w:rPr>
          <w:rStyle w:val="Arabi"/>
          <w:rtl w:val="0"/>
          <w:lang w:val="fa-IR"/>
        </w:rPr>
        <w:t xml:space="preserve">هلُمَّ جَرّا</w:t>
      </w:r>
      <w:r>
        <w:rPr>
          <w:rtl w:val="0"/>
          <w:lang w:val="fa-IR"/>
        </w:rPr>
        <w:t xml:space="preserve"> كه تسلسل یا دور لازم مى‏آید.</w:t>
      </w:r>
    </w:p>
    <w:p>
      <w:pPr>
        <w:pStyle w:val="Heading6"/>
      </w:pPr>
      <w:r>
        <w:rPr>
          <w:rtl w:val="0"/>
          <w:lang w:val="fa-IR"/>
        </w:rPr>
        <w:t xml:space="preserve">عدم نیاز به تشخیص جنس در تشخیص انواع</w:t>
      </w:r>
    </w:p>
    <w:p>
      <w:pPr/>
      <w:r>
        <w:rPr>
          <w:rtl w:val="0"/>
          <w:lang w:val="fa-IR"/>
        </w:rPr>
        <w:t xml:space="preserve">بنابراین خود جنس فى‌حدّ‌نفسه یك امر و حقیقتى است كه در ارائه مفهوم خودش تامّ است لذا در تشخیص انواع شما نیاز به تشخیص جنس ندارید. در جلسۀ قبل عرض کردم که وقتی یك شیئى را مى‏بینید که متحرك است اولین چیزى كه به نظر شما مى‏آید این است كه این حیوان است اما آیا تشخیص مى‏دهید كه ناطق است یا تشخیص مى‏دهید كه غنم است یا سبُع است؟! نه، فقط آن حیوانیت را مى‏فهمید بدون اینكه نوعیت را در اینجا احساس كنید، وقتى كه جلوتر مى‏آیید نوعیت را مى‏فهمید. پس این دلیل بر این است كه همان كیفیتى كه از جنس به انسان منتقل مى‏شود همان مفهومى است كه جنس دارد و به این مفهوم تامّ است البته آن از نظر وجود خارجى براى اینكه این وجود خارجى محقق بشود این جنس احتیاج دارد به اینكه فصلى براى او ضمیمه بشود.</w:t>
      </w:r>
    </w:p>
    <w:p>
      <w:pPr>
        <w:pStyle w:val="Heading6"/>
      </w:pPr>
      <w:r>
        <w:rPr>
          <w:rtl w:val="0"/>
          <w:lang w:val="fa-IR"/>
        </w:rPr>
        <w:t xml:space="preserve">اشکال به نظریۀ دکارت و راسل دربارۀ وجود</w:t>
      </w:r>
    </w:p>
    <w:p>
      <w:pPr/>
      <w:r>
        <w:rPr>
          <w:rtl w:val="0"/>
          <w:lang w:val="fa-IR"/>
        </w:rPr>
        <w:t xml:space="preserve">خارجى‏ها یك بحثى در اینجا دارند ـ مثل همۀ اشتباهاتى كه مى‏كنند این‌هم روی آن ـ که وجود را جنس گرفتند و گفتند كه وجود جنس است و هم دِكارت این مسئله را گفته است و راسل هم به همین مناسبت این مسئله را تكرار كرده كه وجود به‌طورکلی جنس است و به‌واسطۀ این عوارضى كه بر او عارض مى‏شود كه‏ عوارض خارجى اشیاء باشد این وجود تبدیل به حقیقت عینیۀ خارجیه مى‏شود و از این نقطه‌نظر وجود را داخل در بحث مقولات شمرده‌اند كه این حرف اصلاً </w:t>
      </w:r>
      <w:r>
        <w:rPr>
          <w:rStyle w:val="Arabi"/>
          <w:rtl w:val="0"/>
          <w:lang w:val="fa-IR"/>
        </w:rPr>
        <w:t xml:space="preserve">مِن أصله</w:t>
      </w:r>
      <w:r>
        <w:rPr>
          <w:rtl w:val="0"/>
          <w:lang w:val="fa-IR"/>
        </w:rPr>
        <w:t xml:space="preserve"> باطل است؛ بحث وجود بحث عینیت است، بحث مقولات، بحث ماهیت است، ماهیات ظرف وجودشان ذهن است. وجود، تحقق و تشخّص خارج است و ربطى بین مفهوم و عینیت خارجى نیست بلکه اصلاً اختلاف بین معلوم بالعرض و معلوم بالذات، اختلاف بین عین و صورت، كیف نفسانى یا صورت نوعیۀ ذهنیه است. اصلاً در اینجا مسئله پرت‌وپلا است.</w:t>
      </w:r>
    </w:p>
    <w:p>
      <w:pPr/>
      <w:r>
        <w:rPr>
          <w:rtl w:val="0"/>
          <w:lang w:val="fa-IR"/>
        </w:rPr>
        <w:t xml:space="preserve">ولى یك مطلبى كه در اینجا هست كه بین این دو مسئله مى‏توانیم یك نوع اشتراكى قائل بشویم این است كه اینها از یك طرف دیدند كه آنچه كه در عالم تحقق خارجى دارد همان عبارت از وجود است اما نفهمیدند كه چطور بین اینکه این وجود را به‌عنوان عین بگیرند یااینكه براى این وجود امر زائدى فرض کردند كه عبارت از جنس و فصل باشد فرق قائل شوند و آنها را از هم تشخیص بدهند فقط به همان جنبۀ سعى و شمول مسئله توجه كردند و اسم وجود را جنس گذاشتند؛ دیدند چون جنس عام است پس وجود هم باید از این نظر كه عام است پس اسم همان را مى‏توان بر او گذاشت.</w:t>
      </w:r>
    </w:p>
    <w:p>
      <w:pPr/>
      <w:r>
        <w:rPr>
          <w:rtl w:val="0"/>
          <w:lang w:val="fa-IR"/>
        </w:rPr>
        <w:t xml:space="preserve">از این نقطه‌نظر خب اینها نسبت به این قضیه اشتباه كردند ولى از نقطه‌نظر دیگری مى‏توان گفت كه ـ یك استفاده‏اى انسان از این مى‏كند نه به‌خاطر این، بلکه به‌خاطر اصل مسئله ـ در مسئلۀ اصل جنس همان‌طوری‌كه در اینجا مرحوم شیخ و مرحوم آخوند مى‏فرمایند: جنس در معناى خودش تامّ است وقتى كه جنس در معناى خودش تامّ بود آن‌وقت فصل مى‏آید این معناى تمام را صورت خارجى به خود مى‏دهد؛ یعنى جنس یك حقیقتى است كه این حقیقت، حقیقت مشتركِ عامى است و بین همۀ حقایق نوعیه سارى و جارى است ـ بسته به جنس قریب و جنس بعید ـ و به‌واسطۀ آن فصلِ منوّع، آن جنس صورت نوعیه پیدا مى‏كند و نوع مى‏شود. من‌باب‌مثال اسم‏ این را انسان مى‏گذاریم، اسم آن را غنم مى‏گذاریم، اسم این را بقر می‌گذاریم، اسم آن را حمار مى‏گذاریم، اسم این را اسد مى‏گذاریم و امثال‌ذلك. این فصل جنس را از معناى خود تغییر نداده است بلكه این جنس را صورت فصلیه بخشیده است درحالی‌که فصل دیگر، همین جنس را صورت نوعیۀ دیگر مى‏بخشد.</w:t>
      </w:r>
    </w:p>
    <w:p>
      <w:pPr/>
      <w:r>
        <w:rPr>
          <w:rtl w:val="0"/>
          <w:lang w:val="fa-IR"/>
        </w:rPr>
        <w:t xml:space="preserve">پس آن حیوانیتى كه الآن در همۀ اشیاء وجود دارد آن حیوانیت تغییر پیدا نكرده است بلکه آن حیوانیت، حیوانیت است نه‌اینکه حیوانیت انسان مختلف باشد بالذات با حیوانیت بقر، و حیوانیت بقر اختلاف ذاتى و مفهومى و تمایز كُنهى داشته باشد با حیوانیت غنم </w:t>
      </w:r>
      <w:r>
        <w:rPr>
          <w:rStyle w:val="Arabi"/>
          <w:rtl w:val="0"/>
          <w:lang w:val="fa-IR"/>
        </w:rPr>
        <w:t xml:space="preserve">و هَلُمَّ جَرّاً</w:t>
      </w:r>
      <w:r>
        <w:rPr>
          <w:rtl w:val="0"/>
          <w:lang w:val="fa-IR"/>
        </w:rPr>
        <w:t xml:space="preserve">.</w:t>
      </w:r>
    </w:p>
    <w:p>
      <w:pPr/>
      <w:r>
        <w:rPr>
          <w:rtl w:val="0"/>
          <w:lang w:val="fa-IR"/>
        </w:rPr>
        <w:t xml:space="preserve">بنابراین آن حیوانیت که به‌عنوان جنس است این به‌واسطۀ ضمّ فصل به یك صورت نوعیۀ خاص و مختص به آن در خواهد آمد و همان جنس با فصل دیگر به ‌صورت نوعیۀ دیگر درمى‏آید و همان جنس با فصل دیگر به صورت نوعیۀ دیگرى درمى‏آید و در همۀ آنها آنچه كه حقیقت خارجى و واقعیت او را تشكیل مى‏دهد واحد است.</w:t>
      </w:r>
    </w:p>
    <w:p>
      <w:pPr>
        <w:pStyle w:val="Heading6"/>
      </w:pPr>
      <w:r>
        <w:rPr>
          <w:rtl w:val="0"/>
          <w:lang w:val="fa-IR"/>
        </w:rPr>
        <w:t xml:space="preserve">فرق جنس و وجود</w:t>
      </w:r>
    </w:p>
    <w:p>
      <w:pPr/>
      <w:r>
        <w:rPr>
          <w:rtl w:val="0"/>
          <w:lang w:val="fa-IR"/>
        </w:rPr>
        <w:t xml:space="preserve">همین مثال را ما در باب وجود مى‏توانیم تصور كنیم منتها جنس از نقطه‌نظر مفهومى و از نظر معناى عام و سعى مدّ‌نظر است و وجود از نظر تشخّص و عینیت خارجى مدّ‌نظر است؛ وجود یك حقیقت واحده است كه آن حقیقت واحده نه شكلى دارد، نه رنگى دارد، نه لونى دارد، نه ثقلى دارد، نه ماده‏اى دارد و نه صورتى دارد هیچ ندارد ولى آن حقیقت تشخصّیۀ خارجیه ـ درعین‌حال كه آن وجود اینها را ندارد ـ تشخّص بالذات دارد وجود تشخّص خود را از اشیاء منضمّ إلیه نمى‏گیرد بلكه تعیّن خود را از آن افتراقات و آن صورى كه بر آن وجود عارض مى‏شود كه همان صور نوعیه است مى‏گیرد و چنانچه قبلاً مرحوم آخوند فرمودند بین تشخّص و تعیّن در اینجا اختلاف است.</w:t>
      </w:r>
    </w:p>
    <w:p>
      <w:pPr>
        <w:pStyle w:val="Heading6"/>
      </w:pPr>
      <w:r>
        <w:rPr>
          <w:rtl w:val="0"/>
          <w:lang w:val="fa-IR"/>
        </w:rPr>
        <w:t xml:space="preserve">تشخّص، قوام خارجى شی‏ء</w:t>
      </w:r>
    </w:p>
    <w:p>
      <w:pPr/>
      <w:r>
        <w:rPr>
          <w:rtl w:val="0"/>
          <w:lang w:val="fa-IR"/>
        </w:rPr>
        <w:t xml:space="preserve">در مسئلۀ تشخّص عرض شد كه تشخّص خود قوام خارجى شی‏ء است و از صورت مفهوم به صورت عینى ظهور پیدا كردن است، این را تشخّص مى‏گویند. آیا قبل از اینكه ارادۀ حق بر خلقت‏ مخلوقات تعلق بگیرد خود حق وجود خارجى نداشت؟! خود خداى متعال وجود خارجى نداشت؟! وجود، وجود خارجى نداشت؟! وجود، موجودیت نداشت؟! خود وجود، یك حقیقت بالاِصاله نبود؟! اگر نبود پس این مباحث اصالة الوجود و بحث وحدت وجود و تشكیك وجود و تشخّص وجود از كجا آمده است؟! تا یك عین خارجى نباشد، انسان نمى‏تواند راجع به عین خارجى صحبت كند، عین خارجى سنگین است، سبك است، صورت دارد یا ندارد، ماده است مجرد است چه چیزی است باید یك تعیّن خارجى باشد آن تعیّن خارجى چه شكلى است؟ شكل ندارد، آن تعیّن خارجى چه رنگى است؟ رنگ ندارد، آن تعیّن خارجى ماده است؟ ماده ندارد، تمام اینها آثارى است که منضم به وجود مى‏شود. حالا در هر مرتبه‏اى از مراتب ـ بسته به آن مراتب تشكیكى ـ یك صورتى بر این وجود عارض مى‏شود و آن را به این مرتبه درمى‏آورد.</w:t>
      </w:r>
    </w:p>
    <w:p>
      <w:pPr>
        <w:pStyle w:val="Heading6"/>
      </w:pPr>
      <w:r>
        <w:rPr>
          <w:rtl w:val="0"/>
          <w:lang w:val="fa-IR"/>
        </w:rPr>
        <w:t xml:space="preserve">تشخّص، لازمه و ذاتی اصل وجود</w:t>
      </w:r>
    </w:p>
    <w:p>
      <w:pPr/>
      <w:r>
        <w:rPr>
          <w:rtl w:val="0"/>
          <w:lang w:val="fa-IR"/>
        </w:rPr>
        <w:t xml:space="preserve">پس تشخّص لازمۀ اصل وجود است. پس این را بدانیم كه ما به‌واسطۀ ماهیت وجود را متشخّص نكردیم بلكه تشخّص وجود تشخّص ذاتى است و هركجا مى‏رود و پا در هر مكانى مى‏گذارد با خودش تشخّص را مى‏برد و در هرجا كه قدم مى‏گذارد، اول تشخّص را مى‏برد و بعد اختلاف را مى‏برد.</w:t>
      </w:r>
    </w:p>
    <w:p>
      <w:pPr/>
      <w:r>
        <w:rPr>
          <w:rtl w:val="0"/>
          <w:lang w:val="fa-IR"/>
        </w:rPr>
        <w:t xml:space="preserve">من‌با‌ب‌مثال وقتى كه دارید كتاب مى‏خوانید مى‏بینید یك‌دفعه در باز شد و یك چیزى داخل آمد، احساس مى‏كنید یك جنبده‏اى داخل آمد، حالا چشم از كتاب بر نداشتید تا ببینید این چیست، چون در بیخود باز نمى‏شود بالأخره یك كسى در را باز كرده و این جنبده وارد اتاق شده است حالا آیا این جنبده انسان است؟ نگاه مى‏كنید مى‏بینید که بله این آدم است یااینكه این متحرك هرّه است، نگاه می‌کنید و می‌بینید که بله هرّه آمده است یااینكه مرغ و خروس است یااینكه گوسفند و الاغ است. بالأخره یك چیزى وارد این حجره شده است. در اینجا این اول با خودش جسمیت را ارائه مى‏دهد؛ جسمیت متحرك را شما احساس مى‏كنید.</w:t>
      </w:r>
    </w:p>
    <w:p>
      <w:pPr/>
      <w:r>
        <w:rPr>
          <w:rtl w:val="0"/>
          <w:lang w:val="fa-IR"/>
        </w:rPr>
        <w:t xml:space="preserve">وجود هم در هرجا كه تحقق عینى پیدا مى‏كند اولاًبلااول تشخّص را در آنجا مى‏برد حالا این تشخّصى را كه برده ما نمى‏دانیم از چه تشخّصاتى است، نوعش را نمى‏دانیم خصوصیاتش را نمى‏دانیم امتیازش را با بقیه نمى‏دانیم یك نگاه مى‏كنیم مى‏بینیم انسان است بیشتر نگاه مى‏كنیم مى‏بینیم زید است بعد مى‏بینیم عمرو است بین عمرو و زید اختلاف است.</w:t>
      </w:r>
    </w:p>
    <w:p>
      <w:pPr>
        <w:pStyle w:val="Heading6"/>
      </w:pPr>
      <w:r>
        <w:rPr>
          <w:rtl w:val="0"/>
          <w:lang w:val="fa-IR"/>
        </w:rPr>
        <w:t xml:space="preserve">تعریف تعیّن و فرقش با تشخّص</w:t>
      </w:r>
    </w:p>
    <w:p>
      <w:pPr/>
      <w:r>
        <w:rPr>
          <w:rtl w:val="0"/>
          <w:lang w:val="fa-IR"/>
        </w:rPr>
        <w:t xml:space="preserve">پس اول تشخّص می‌آید بعد تعیّن مى‏آید؛ تعیّن یعنى همان صورت قوام ماهوى به خود گرفتن مى‏آید. پس در تعیّن مسئله، مسئلۀ اختلاف بین یك و دو است، در تشخّص مسئله، مسئلۀ استقلال ذاتى خارجى است. بله، تا شی‏ء استقلال خارجى نداشته باشد و قوام ذاتى و عین خارجى نداشته باشد تعیّن هم در آنجا منتفى خواهد بود.</w:t>
      </w:r>
    </w:p>
    <w:p>
      <w:pPr>
        <w:pStyle w:val="Heading6"/>
      </w:pPr>
      <w:r>
        <w:rPr>
          <w:rtl w:val="0"/>
          <w:lang w:val="fa-IR"/>
        </w:rPr>
        <w:t xml:space="preserve">متأخر بودن مرتبۀ تعیّن از مرتبۀ تشخّص</w:t>
      </w:r>
    </w:p>
    <w:p>
      <w:pPr/>
      <w:r>
        <w:rPr>
          <w:rtl w:val="0"/>
          <w:lang w:val="fa-IR"/>
        </w:rPr>
        <w:t xml:space="preserve">پس مرتبۀ تعیّن همیشه متأخر از مرتبۀ تشخّص است لذا وجود یك جنبۀ سعى دارد كه به‌واسطۀ آن جنبۀ سعى باعث مى‏شود كه در همۀ اشیاء حضور خارجى پیدا بكند، آن حضورِ خارجىِ وجود را تشخّص مى‏گویند. حالا </w:t>
      </w:r>
      <w:r>
        <w:rPr>
          <w:rStyle w:val="Arabi"/>
          <w:rtl w:val="0"/>
          <w:lang w:val="fa-IR"/>
        </w:rPr>
        <w:t xml:space="preserve">سواءٌ کان</w:t>
      </w:r>
      <w:r>
        <w:rPr>
          <w:rtl w:val="0"/>
          <w:lang w:val="fa-IR"/>
        </w:rPr>
        <w:t xml:space="preserve"> این حضور در بارى تعالىٰ باشد یااینكه این حضور در ناس و حیوان و سایر اشیاء باشد یااینکه این حضور، حضور تجرد باشد یا حضور، حضور ماده باشد. از این نقطه‌نظر تفاوتى نخواهد بود.</w:t>
      </w:r>
    </w:p>
    <w:p>
      <w:pPr>
        <w:pStyle w:val="Heading6"/>
      </w:pPr>
      <w:r>
        <w:rPr>
          <w:rtl w:val="0"/>
          <w:lang w:val="fa-IR"/>
        </w:rPr>
        <w:t xml:space="preserve">محل اشتراك وجود و جنس</w:t>
      </w:r>
    </w:p>
    <w:p>
      <w:pPr/>
      <w:r>
        <w:rPr>
          <w:rtl w:val="0"/>
          <w:lang w:val="fa-IR"/>
        </w:rPr>
        <w:t xml:space="preserve">پس با توجه به این مسئله مى‏توانیم بگوییم که بین وجود و جنس از این نقطه‌نظر اشتراك است پس همان‌طوری‌كه جنس همان نوع است كه به یك شكل ظهور پیدا كرده است وجود هم همان شخصیت اشیاء است كه به مسائل، حقایق، انواع، اصناف و اشخاص مختلفه ظهور پیدا مى‏كند. آن [جنس] جنبۀ لابشرطى و جنبۀ عام دارد ولی این وجود جنبۀ بشرط‌شیئى دارد؛ وجود زید قابل سرایت براى عمرو نیست و وجود عمرو قابل سرایت براى بكر نیست و وجود اینها قابل سرایت براى حجر و ماء و اینها نیست كه در همۀ اینها بشرط‌لائى و همین‌طور از بعضی جهات بشرط‌شیئى در اینجا اخذ شده است.</w:t>
      </w:r>
    </w:p>
    <w:p>
      <w:pPr/>
      <w:r>
        <w:rPr>
          <w:rtl w:val="0"/>
          <w:lang w:val="fa-IR"/>
        </w:rPr>
        <w:t xml:space="preserve">این فقط نقطۀ مشتركى است كه ما مى‏توانیم اخذ كنیم اما اینكه وجود را به معناى جنس بگیریم خب این دیگر خیلى از مرتبه پرت است.</w:t>
      </w:r>
    </w:p>
    <w:p>
      <w:pPr>
        <w:pStyle w:val="NaghlegholMatn"/>
      </w:pPr>
      <w:r>
        <w:rPr>
          <w:rStyle w:val="Arabi"/>
          <w:rtl w:val="0"/>
          <w:lang w:val="fa-IR"/>
        </w:rPr>
        <w:t xml:space="preserve">و الجوابُ أنَّ المرادَ مِن المأخوذِ وَحدَه کونُه کذلکَ بِحَسَبِ الذّاتِ و الماهیةِ.</w:t>
      </w:r>
      <w:r>
        <w:rPr>
          <w:rStyle w:val="FootnoteReference"/>
        </w:rPr>
        <w:footnoteReference w:id="2"/>
      </w:r>
    </w:p>
    <w:p>
      <w:pPr/>
      <w:r>
        <w:rPr>
          <w:rtl w:val="0"/>
          <w:lang w:val="fa-IR"/>
        </w:rPr>
        <w:t xml:space="preserve">پاسخى كه ایشان در این شبهه‏اى كه از كلام مرحوم شیخ به ذهن مى‏رسد مى‏دهند این است كه اینكه در اینجا مى‏گوییم که جنس را به‌تنهایى ملاحظه مى‏كنیم و جنس باید خودش به‌تنهایى معناى خودش را برساند این است كه این به‌حسب ذات و ماهیت این‌طور باشد؛ ماهیتِ جنس، نیازی به فصل ندارد. ماهیتِ جنس نیازی به ضمّ ضمیمه ندارد بلکه خود جنس را مى‏فهمید، نه فصل را در اینجا آوردید و نه عوارض دیگرى در اینجا مدخلت دارد.</w:t>
      </w:r>
    </w:p>
    <w:p>
      <w:pPr>
        <w:pStyle w:val="NaghlegholMatn"/>
      </w:pPr>
      <w:r>
        <w:rPr>
          <w:rStyle w:val="Arabi"/>
          <w:rtl w:val="0"/>
          <w:lang w:val="fa-IR"/>
        </w:rPr>
        <w:t xml:space="preserve">أی لا یَحتاجُ فی تَتمیمِ ذاتِه إلى شَی‌ءٍ آخَرَ حَتى لو انضَمَّ إلیهِ شَی‌ءٌ صارَ ماهیةً أخرىٰ غَیرَ الأولىٰ فَهی فی حدِّ نَفسِها کاملةٌ تامةٌ بِخلافِ المأخوذِ لا بِشرطِ فَإنَّه ماهیةٌ ناقصةٌ یَحتاجُ إلى تمامٍ و لا ینافی ذلکَ کونَه جزءاً لَه و لِما یَزیدُ عَلیه لِأنَّ المجموعَ ماهیةٌ أخرىٰ.</w:t>
      </w:r>
      <w:r>
        <w:rPr>
          <w:rStyle w:val="FootnoteReference"/>
        </w:rPr>
        <w:footnoteReference w:id="3"/>
      </w:r>
    </w:p>
    <w:p>
      <w:pPr/>
      <w:r>
        <w:rPr>
          <w:rtl w:val="0"/>
          <w:lang w:val="fa-IR"/>
        </w:rPr>
        <w:t xml:space="preserve">در اینكه خود این معناى جنس معناى ناقصى باشد و براى تتمیم این نقصان، احتیاج به ذاتى دیگر باشد یا احتیاج به عارض دیگرى باشد، نه! جنس این‌طور نیست حتى اینكه اگر به این یك شیئى منضم كنید این یك ماهیت دیگرى خواهد شد كه دراین‌صورت ماهیت اول نخواهد بود. این را دقت كنید اینكه مى‏گوید: «</w:t>
      </w:r>
      <w:r>
        <w:rPr>
          <w:rStyle w:val="Arabi"/>
          <w:rtl w:val="0"/>
          <w:lang w:val="fa-IR"/>
        </w:rPr>
        <w:t xml:space="preserve">غَیرَ الأولىٰ</w:t>
      </w:r>
      <w:r>
        <w:rPr>
          <w:rtl w:val="0"/>
          <w:lang w:val="fa-IR"/>
        </w:rPr>
        <w:t xml:space="preserve">» منظور از «</w:t>
      </w:r>
      <w:r>
        <w:rPr>
          <w:rStyle w:val="Arabi"/>
          <w:rtl w:val="0"/>
          <w:lang w:val="fa-IR"/>
        </w:rPr>
        <w:t xml:space="preserve">اولیٰ»</w:t>
      </w:r>
      <w:r>
        <w:rPr>
          <w:rtl w:val="0"/>
          <w:lang w:val="fa-IR"/>
        </w:rPr>
        <w:t xml:space="preserve"> ابتدائاً خود حیوان بود نه‌اینکه آن حیوانِ لابشرط منظور باشد، چون اگر آن حیوان لابشرط را كه شما فرض كنید هر فصلِ نوعى كه بر آن حیوان باشد آن حیوان تغییر نمى‏كند، بلکه همان ماهیت است؛ آن ماهیت به یك ظهورى درمى‏آید، یا همان ماهیت به ظهور دیگری درمی‌آید. پس در اینجا منظور از «</w:t>
      </w:r>
      <w:r>
        <w:rPr>
          <w:rStyle w:val="Arabi"/>
          <w:rtl w:val="0"/>
          <w:lang w:val="fa-IR"/>
        </w:rPr>
        <w:t xml:space="preserve">غَیر الأولىٰ</w:t>
      </w:r>
      <w:r>
        <w:rPr>
          <w:rtl w:val="0"/>
          <w:lang w:val="fa-IR"/>
        </w:rPr>
        <w:t xml:space="preserve">» یعنى همان بشرط‌لا گرفتن «</w:t>
      </w:r>
      <w:r>
        <w:rPr>
          <w:rStyle w:val="Arabi"/>
          <w:rtl w:val="0"/>
          <w:lang w:val="fa-IR"/>
        </w:rPr>
        <w:t xml:space="preserve">المأخوذِ وَحدَه</w:t>
      </w:r>
      <w:r>
        <w:rPr>
          <w:rtl w:val="0"/>
          <w:lang w:val="fa-IR"/>
        </w:rPr>
        <w:t xml:space="preserve">» یعنى جدا [درنظر] گرفتن.</w:t>
      </w:r>
    </w:p>
    <w:p>
      <w:pPr>
        <w:pStyle w:val="Heading6"/>
      </w:pPr>
      <w:r>
        <w:rPr>
          <w:rtl w:val="0"/>
          <w:lang w:val="fa-IR"/>
        </w:rPr>
        <w:t xml:space="preserve">مفهومِ ابهامى اسماء اجناس</w:t>
      </w:r>
    </w:p>
    <w:p>
      <w:pPr/>
      <w:r>
        <w:rPr>
          <w:rStyle w:val="Arabi"/>
          <w:rtl w:val="0"/>
          <w:lang w:val="fa-IR"/>
        </w:rPr>
        <w:t xml:space="preserve">فَهی فی حدِ نَفسِها کاملةٌ تامةٌ ... </w:t>
      </w:r>
      <w:r>
        <w:rPr>
          <w:rtl w:val="0"/>
          <w:lang w:val="fa-IR"/>
        </w:rPr>
        <w:t xml:space="preserve">این ماهیت خودش كامل است و تامّ است؛ خود حیوان فی‌حدّنفسه كامل و تامّ است خود جسم كامل و تامّ است، خود ماده كامل و تامّ است. اما اگر شما همین را لابشرط فرض كردید یعنی اگر شما این حیوان را تصور كردید كه این حیوان یك ماهیت مبهمه است، واقعاً هم مبهم است؛ حیوان یك ماهیت مبهم است نه‌اینکه ابهامش ابهام مفهومى است و ابهام مفهومى ندارد چون ما مى‏فهمیم حیوان چیست ولى ابهامش ابهام خارجى است ابهام عینی است. آیا شما در خارج حیوان بدون فصل می‌توانید نشان بدهید؟! نداریم، آیا شما می‌توانید در خارج برنج یا گندم از این انواعى كه در بازار هست را نشان بدهید؟! نداریم. به‌طورکلی اسماء اجناس مفهومشان مفهوم ابهامى است و به‌واسطۀ آن ضمّ فصل در خارج یك صورت خارجى پیدا مى‏كنند. این ابهام، ابهام خارجى است. منظور از بشرط‌لا گرفتن، همان تعریف ذاتى و استقلالى خود جنس است و ما باید بین این دو تفاوت بگذاریم.</w:t>
      </w:r>
    </w:p>
    <w:p>
      <w:pPr/>
      <w:r>
        <w:rPr>
          <w:rStyle w:val="Arabi"/>
          <w:rtl w:val="0"/>
          <w:lang w:val="fa-IR"/>
        </w:rPr>
        <w:t xml:space="preserve">فَإنَّه ماهیةٌ ناقصةٌ یَحتاجُ إلى تمامٍ ... </w:t>
      </w:r>
      <w:r>
        <w:rPr>
          <w:rtl w:val="0"/>
          <w:lang w:val="fa-IR"/>
        </w:rPr>
        <w:t xml:space="preserve">فصل باید در اینجا بیاید و منافات ندارد كه ما از یك طرف این را بشرط‌لا گرفتیم و خود آن حیوان تنها را درنظر گرفتیم و از یك طرف این در اینجا براى خودش و به آن فصلى كه اضافه می‌شود جزء بشود؛ وقتى كه شما نوع را درنظر مى‏گیرید این جزئش حیوان مى‏شود، پس آیا حیوان جزء خودش شد؟! نه، حیوان جزء یک مركب است؛ یك مركبى كه این مركب با آن لحاظ اوّلى فرق مى‏كند؛ شما آن حیوان اوّلى را به شرط‌لا گرفتید درواقع خود حیوان را درنظر گرفتید و این حیوان دومی حیوان لابشرط است كه با فصل تمام مى‏شود. پس این نوعى كه الآن در اینجا هست از دو چیز تركیب شده است؛ یكى از آن حیوانى كه شما بشرط‌لا گرفتید یكى هم از آن فصلى كه خودش بشرط‌لا هست این دوتا بشرط‌لائى باهم جمع مى‏شوند ـ البته نه بشرط‌لائى ـ وقتى كه بخواهند باهم جمع بشوند آن حیوان، بشرط‌لائى‏اش حذف مى‏شود و لابشرط می‌شود، یعنى همان معناى ابهامى و مفهوم مبهمى مى‏شود كه مى‏تواند درصورت مبهم بودن خودش را هم‌رنگ كند.</w:t>
      </w:r>
    </w:p>
    <w:p>
      <w:pPr>
        <w:pStyle w:val="Heading6"/>
      </w:pPr>
      <w:r>
        <w:rPr>
          <w:rtl w:val="0"/>
          <w:lang w:val="fa-IR"/>
        </w:rPr>
        <w:t xml:space="preserve">خدای در تحت فرمان بنده!</w:t>
      </w:r>
    </w:p>
    <w:p>
      <w:pPr/>
      <w:r>
        <w:rPr>
          <w:rtl w:val="0"/>
          <w:lang w:val="fa-IR"/>
        </w:rPr>
        <w:t xml:space="preserve">پس جناب سیدنا! اگر انسان بخواهد خودش را با بقیه‏ هم‌رنگ كند نمى‏تواند مستقل باشد! اگر بخواهى مستقل باشى، كسى با تو هم‌رنگ نمى‏شود باید این استقلال ازبین برود تااینكه انسان بتواند هم‌رنگ بشود! باید این أنانیّت ازبین برود تا بتوانیم با دیگران بر سر یك سفره بنشینیم! باید این خود‌محورى و این فرعونیت و این نفس مباركى كه تا عرش هم دستش رسیده و خدا را در مشتش گرفته و خدا را در تحت فرمان خودش درمى‏آورد [ازبین برود]! خیلى عجیب است! آدم براى خدا تكلیف تعیین كند! خدایا تو تقدیرت را آن‌گونه قرار بده كه من مى‏خواهم! هیچ تابه‌حال به این قضیه فكر كرده‌اید؟! هیچ‌وقت گفتید: خدایا تقدیرت را قرار بده كه من با تقدیر تو منطبق باشم؟! یا نه، می‌گوییم که خدایا من این را مى‏خواهم و تو هم باید ملائكه را موكّل كنى كه این میل مرا در اینجا تنفیذ و اجرا كنند! ما این‌طوری نیستیم؟! مردم این‌طوری نیستند؟! دنیا این‌طور نیست؟! این‌همه میل‏ها، این‌همه نفسانیات، این‌همه شیطنت‏ها، این‌همه أنانیت‏ها این‌همه استقلال‏ها برای چیست؟! همه‏اش مربوط به همین مى‏شود، كنه‌اش را بشكافید و داخل بروید؛ یکی‌یکی درِ این صندوق‌ها را باز كنید، صندوق دیگری در آن است، همین‌طور صندوق دیگر، صندوق دیگر، در انتها آن بغچه‏اى كه هست نفس هست! آن نفس در این صندوق گره خورده است و در آن را هم بسته‌ایم! باید همین‌طور یکی‌یکی این درها باز شود تا انسان به آن مسئله و حقیقت خودش برسد كه آنجا چه خبر است!</w:t>
      </w:r>
    </w:p>
    <w:p>
      <w:pPr/>
      <w:r>
        <w:rPr>
          <w:rtl w:val="0"/>
          <w:lang w:val="fa-IR"/>
        </w:rPr>
        <w:t xml:space="preserve">یك وقتى خیلى چیزها در سر ما بود؛ باید این‌طور بشود، آن‌طور بشود، اوضاع این‌طور بشود، مدام گذشت و دیدیدیم نه بابا! بیخود سركاریم! به‌جاى اینكه بگوییم: بشود! بگوییم: خب خودمان مى‏شویم! بالأخره یك «شین» باید در آن باشد! یا شین «بشود» در آن باید باشد یا شین «بشویم»! دیدیم بشویم راحت‏تر است! ما بشویم، ما این‌طور بشویم! نه‌اینکه او این‌طور بشود! او نمى‏خواهد بشود!</w:t>
      </w:r>
    </w:p>
    <w:p>
      <w:pPr/>
      <w:r>
        <w:rPr>
          <w:rtl w:val="0"/>
          <w:lang w:val="fa-IR"/>
        </w:rPr>
        <w:t xml:space="preserve">من‌باب‌مثال سال‌ها می‌گوییم: باید فلان شخص برود، مى‏بینیم نرفت! می‌گوید: مى‏خواهم بمانم! چه کسی گفته مى‏خواهم بروم؟! سال‌ها مى‏گوییم: باید فلان شخص‏ بیاید! نمى‏خواهد بیاید! باید سر جایش باشد! سال‌ها مى‏گذرد باید تقدیر عالم بر این تقدیر باشد! خدا مى‏گوید: تو دارى تقدیر تعیین مى‏كنى یا بنده؟! به ظاهر مى‏گوییم: نه خدایا هرچه تو بخواهى! هرچه تو مصلحت بخواهى! ولى در باطن این است كه اى واى! چرا آنچه را كه ما مى‏گفتیم نشد؟! این «اى واى» برای چیست؟! برای این است كه از اول ما مى‏خواهیم براى خدا خَریطه بدهیم ما مى‏خواهیم براى خدا نقشه بدهیم نه‌اینکه نقشۀ او را بگیریم و اجرا كنیم.</w:t>
      </w:r>
    </w:p>
    <w:p>
      <w:pPr/>
      <w:r>
        <w:rPr>
          <w:rtl w:val="0"/>
          <w:lang w:val="fa-IR"/>
        </w:rPr>
        <w:t xml:space="preserve">امیرالمؤمنین علیه‌السّلام مى‏رود جنگ مى‏كند، او براى خدا نقشه نمى‏دهد بلکه او نقشه را اجرا مى‏كند؛ حرف مى‏زند و می‌گوید که ای مردم ببینید این معاویه چه است و فلان است؛ «</w:t>
      </w:r>
      <w:r>
        <w:rPr>
          <w:rStyle w:val="RevayatArabi"/>
          <w:rtl w:val="0"/>
          <w:lang w:val="fa-IR"/>
        </w:rPr>
        <w:t xml:space="preserve">سَأجهَدُ فِى أن أُطَهِّرَ الأرضَ مِن هَذا الشَّخصِ المَعکوسِ وَ الجِسمِ المَرکوس؛</w:t>
      </w:r>
      <w:r>
        <w:rPr>
          <w:rStyle w:val="FootnoteReference"/>
        </w:rPr>
        <w:footnoteReference w:id="4"/>
      </w:r>
      <w:r>
        <w:rPr>
          <w:rtl w:val="0"/>
          <w:lang w:val="fa-IR"/>
        </w:rPr>
        <w:t xml:space="preserve"> من [جهاد می‌کنم تا] این دنیا را از این انسان واژگون خلاص ‌کنم»، این تكلیف است، بلند مى‏شود مى‏رود و مى‏جنگد و هجده ماه طول می‌کشد! یك‌دفعه دستور مى‏آید که بایستید، تمام شد! بایستید! نه، خدایا پدرمان درآمد! اگر برگردیم این مردم چه مى‏گویند؟! وقتى پیغمبر صلّی الله علیه و آله و سلّم فرمود که به‌سمت مكه بروید:</w:t>
      </w:r>
    </w:p>
    <w:p>
      <w:pPr>
        <w:pStyle w:val="NaghlegholMatn"/>
      </w:pPr>
      <w:r>
        <w:rPr>
          <w:rtl w:val="0"/>
          <w:lang w:val="fa-IR"/>
        </w:rPr>
        <w:t xml:space="preserve">﴿لَّقَدۡ صَدَقَ ٱللَهُ رَسُولَهُ ٱلرُّءۡيَا بِٱلۡحَقِّ لَتَدۡخُلُنَّ ٱلۡمَسۡجِدَ ٱلۡحَرَامَ إِن شَآءَ ٱللَهُ ءَامِنِينَ مُحَلِّقِينَ رُءُوسَكُمۡ وَمُقَصِّرِينَ لَا تَخَافُونَ فَعَلِمَ مَا لَمۡ تَعۡلَمُواْ فَجَعَلَ مِن دُونِ ذَٰلِكَ فَتۡحٗا قَرِيبًا</w:t>
      </w:r>
      <w:r>
        <w:rPr>
          <w:rtl w:val="0"/>
          <w:lang w:val="fa-IR"/>
        </w:rPr>
        <w:t xml:space="preserve">﴾.</w:t>
      </w:r>
      <w:r>
        <w:rPr>
          <w:rStyle w:val="FootnoteReference"/>
        </w:rPr>
        <w:footnoteReference w:id="5"/>
      </w:r>
    </w:p>
    <w:p>
      <w:pPr/>
      <w:r>
        <w:rPr>
          <w:rtl w:val="0"/>
          <w:lang w:val="fa-IR"/>
        </w:rPr>
        <w:t xml:space="preserve">آیه آمد كه این باید انجام بشود، خیلى عجیب است که چطور خدا آدم را امتحان مى‏كند! این مسئله باید انجام بشود، پیغمبر حركت كرد، إن‌شاءالله به‌سمت مكه برویم و مكه را فتح كنیم. آنها كه راه افتادند همه در این نیت بودند كه مى‏آیند، حركت مى‏كنند، می‌روند، مى‏زنند و مشركین همه را درب و داغان مى‏كنند و حج انجام مى‏دهند و تقصیر و حلق می‌کنند و پیش زن و بچه برمى‏گردند و سینه را جلو می‌دهند و می‌گویند: این شمشیر را مى‏بینید؟! ده‏تا با آن كشتم! این شمشیر را مى‏بینید؟! بیست‌تا سر را با آن پراندیم! یك پُزى به زن و بچۀ بدبخت می‌دهند! یك دروغ و دَوَنگی هم بگوییم چه كسى مى‏فهمد؟!</w:t>
      </w:r>
    </w:p>
    <w:p>
      <w:pPr/>
      <w:r>
        <w:rPr>
          <w:rtl w:val="0"/>
          <w:lang w:val="fa-IR"/>
        </w:rPr>
        <w:t xml:space="preserve">عمر و عثمان و ابوبكر ـ گوساله‌ها ـ از اُحد فرار كردند و بیرون رفتند!</w:t>
      </w:r>
      <w:r>
        <w:rPr>
          <w:rStyle w:val="FootnoteReference"/>
        </w:rPr>
        <w:footnoteReference w:id="6"/>
      </w:r>
      <w:r>
        <w:rPr>
          <w:rtl w:val="0"/>
          <w:lang w:val="fa-IR"/>
        </w:rPr>
        <w:t xml:space="preserve"> حالا خوب است مردم آنها را دیدند والاّ در تاریخ مى‏گفتند: هركدام نود نفر را كشتند! اگر فرار نمی‌کردند پشت كوه‌هاى جزایر سراندیب</w:t>
      </w:r>
      <w:r>
        <w:rPr>
          <w:rStyle w:val="FootnoteReference"/>
        </w:rPr>
        <w:footnoteReference w:id="7"/>
      </w:r>
      <w:r>
        <w:rPr>
          <w:rtl w:val="0"/>
          <w:lang w:val="fa-IR"/>
        </w:rPr>
        <w:t xml:space="preserve"> پنهان بشوند الآن همین سنّى‏ها مى‏گفتند: اینها اصلاً دور پیغمبر بودند و هرکدامشان مثل على نود زخم خوردند! دروغ است دیگر، كنتور كه نمى‏اندازد، شماره ندارد! حالا الحمدلله همه دیدند كه چطورى فرار کردند و گردوخاکشان هم از آن انتها پیدا بود!</w:t>
      </w:r>
    </w:p>
    <w:p>
      <w:pPr>
        <w:pStyle w:val="Heading6"/>
      </w:pPr>
      <w:r>
        <w:rPr>
          <w:rtl w:val="0"/>
          <w:lang w:val="fa-IR"/>
        </w:rPr>
        <w:t xml:space="preserve">عدم فرق بین ما و گذشتگان!</w:t>
      </w:r>
    </w:p>
    <w:p>
      <w:pPr/>
      <w:r>
        <w:rPr>
          <w:rtl w:val="0"/>
          <w:lang w:val="fa-IR"/>
        </w:rPr>
        <w:t xml:space="preserve">این پیغمبر صلّی الله علیه و آله و سلّم وقتى كه به اینها مى‏گوید: بروید، همه راه می‌افتند، با چه نیت راه مى‏افتند؟! با این نیت که فتح می‌کنیم! یك‌دفعه مى‏روند و ورق برمى‏گردد! اى ددم واى! اِه اِه اِه! ما الآن داریم تاریخ را بعد از هزار و چهارصد سال مى‏خوانیم و مرور می‌کنیم نمى‏دانیم که ما هم همین هستیم! والله قسم ـ قسم جلاله مى‏خورم ـ اگر ما زمان پیغمبر بودیم، جزو افرادى بودیم كه به پیغمبر ایراد مى‏كردیم! قسم مى‏خورم! می‌دانید چرا؟! چون دیدم، چون به مرحوم پدرمان همین رفقا اعتراض كردند! همین‏ها كه او را ولىّ خدا می‌دانستند و همین‏ها كه كلام او را حجت می‌دانستند همین‏ها اعتراض مى‏كردند و من در جریان همه بودم! پروندۀ همه دست ما بود! لذا مى‏گویم: والله! خودمان هم جزوشان هستیم! اشکالی ندارد مى‏گویم که خدایا درستمان كن و ما همین هستیم همان‌طور که خیلى‏ها كه این كار را كردند درست شدند بالأخره اشتباه مى‏كنیم، غلط کردیم، توبه مى‏كنیم و خدا مى‌گذرد.</w:t>
      </w:r>
    </w:p>
    <w:p>
      <w:pPr/>
      <w:r>
        <w:rPr>
          <w:rtl w:val="0"/>
          <w:lang w:val="fa-IR"/>
        </w:rPr>
        <w:t xml:space="preserve">آن کسی كه مى‏گوید: به‌سمت مكه برو، تو به نیت خودت راه افتادى یا به حرف او؟! همان مى‏گوید: بایست! مگر او نگفته که به‌سمت مكه بروید و سرتان را بتراشید؟! همان می‌گوید که برگرد! می‌گویند که ما سرمان را بتراشیم جلوى زن و بچه چه بگوییم؟! بگوییم: دست از پا درازتر آمدیم؟! [و آنها بگویند که] نه مكه‏اى را فتح كردید نه كسى را كشتید، پس چرا سر را تراشیدید؟! عقده داشتید مى‏خواستید سر بتراشید!</w:t>
      </w:r>
    </w:p>
    <w:p>
      <w:pPr>
        <w:pStyle w:val="Heading6"/>
      </w:pPr>
      <w:r>
        <w:rPr>
          <w:rtl w:val="0"/>
          <w:lang w:val="fa-IR"/>
        </w:rPr>
        <w:t xml:space="preserve">عبور از نفس به‌واسطۀ اطاعت از اوامر جلالیه</w:t>
      </w:r>
    </w:p>
    <w:p>
      <w:pPr/>
      <w:r>
        <w:rPr>
          <w:rtl w:val="0"/>
          <w:lang w:val="fa-IR"/>
        </w:rPr>
        <w:t xml:space="preserve">اینجاست كه این اوامر، اوامر جلالیّۀ عبور دهنده است! یك اطاعت از این اوامر از صدتا فتح مكه و صد نفر را كشتن آدم را جلوتر مى‏برد، چون آنها با یك شیرینى نفس توأم است؛ بزنیم ابوسفیان را بكشیم كه مكه را بگیریم! بت‏ها را بزنیم بیندازیم! حتى شكستن بت هم التذاذ نفس است! بت‏ها را بیندازیم كه خودمان دور كعبه بگردیم و نگذاریم آنها بیایند! اینجا را درست كنیم به‌خاطر اینكه جاى ما باشد! حالا اگر یكى از آنها بیاید می‌گویند که یا رسول الله این آمده است! اینها كه نزد بزرگان مى‏آمدند این‌طور بودند. آقا برو در خانۀ خودت بنشین، به تو چه ربطى دارد که یكى دیگر مى‏آید؟! نه‌خیر، یا جاى من است یا جاى او! او همان است؛ همان عمر است! عمر آنجا در حدیبیه آن حرف را زد كه من تابه‌حال شك نكرده بودم،</w:t>
      </w:r>
      <w:r>
        <w:rPr>
          <w:rStyle w:val="FootnoteReference"/>
        </w:rPr>
        <w:footnoteReference w:id="8"/>
      </w:r>
      <w:r>
        <w:rPr>
          <w:rtl w:val="0"/>
          <w:lang w:val="fa-IR"/>
        </w:rPr>
        <w:t xml:space="preserve"> و این شخص اینجا این كار را مى‏كند. اگر من اینجا هستم چرا فلانى به خانۀ شما می‌آید؟! تو باید تكلیف تعیین كن یا او باید تكلیف تعیین كند؟! تو باید استفاده كنی یا او باید استفاده كند؟! کدام؟! تو باید مسئول امور باشی یا او باید مسئول امور تو باشد؟!</w:t>
      </w:r>
    </w:p>
    <w:p>
      <w:pPr>
        <w:pStyle w:val="Heading6"/>
      </w:pPr>
      <w:r>
        <w:rPr>
          <w:rtl w:val="0"/>
          <w:lang w:val="fa-IR"/>
        </w:rPr>
        <w:t xml:space="preserve">تکرار جریانات تاریخ</w:t>
      </w:r>
    </w:p>
    <w:p>
      <w:pPr/>
      <w:r>
        <w:rPr>
          <w:rtl w:val="0"/>
          <w:lang w:val="fa-IR"/>
        </w:rPr>
        <w:t xml:space="preserve">آقا این مسئله هر روز هست! هر روز این جریان هست و هر روز این قضیه دارد انجام مى‏شود! ما براى خدا تكلیف تعیین می‌کنیم؛ خدایا ما جهاد مى‏كنیم براى اینكه این‌طور بشود و باید بشود و غلط مى‏كنى که نشود! غلط مى‏كنى كه بر خلاف میل ما بخواهى انجام بدهی! دلیلش چیست؟! دلیلش این است كه وقتى به خواستۀ‏مان نرسیدیم آسمان بر سرمان خراب مى‏شود و یکی‌یکی این كراتى كه مى‏بینید مثل این زهره، مى‏آید به سرمان مى‏خورد، خورشید مى‏آید محكم به مغزمان مى‏خورد، عطارد مى‏آید به سرمان مى‏خورد، اینها همه براى چیست؟! اینها به‌خاطر این است كه ما از اول براى خدا تكلیف تعیین كردیم! اگر مى‏خواستیم طبق تكلیف خدا برویم می‌گفتیم: نشد كه نشد خداحافظ شما! بلند مى‏شویم مى‏رویم در مسجد نماز مى‏خوانیم، بهتر! بلند مى‏شویم مى‏رویم در خانۀمان می‌نشینیم و تألیف مى‏كنیم! تألیف که‏ كارى ندارد، آدم قلم را برمی‌دارد می‌نویسد! بلند مى‏شویم مى‏رویم به كار دیگر مى‏پردازیم؛ هزارتا كار هست، انسان از هزارتا راه مى‏تواند خدمت كند و از هزارتا راه مى‏تواند وظیفه‏اش را انجام بدهد درصورتی‌که [خود را] خالص كند خدا هم در مغز و فکرش مى‏اندازد و القاء مى‏كند كه كدام راه را برود. درست شد؟!</w:t>
      </w:r>
    </w:p>
    <w:p>
      <w:pPr>
        <w:pStyle w:val="Heading6"/>
      </w:pPr>
      <w:r>
        <w:rPr>
          <w:rtl w:val="0"/>
          <w:lang w:val="fa-IR"/>
        </w:rPr>
        <w:t xml:space="preserve">لزوم لابشرط بودن انسان</w:t>
      </w:r>
    </w:p>
    <w:p>
      <w:pPr>
        <w:pStyle w:val="Heading6"/>
      </w:pPr>
      <w:r>
        <w:rPr>
          <w:rtl w:val="0"/>
          <w:lang w:val="fa-IR"/>
        </w:rPr>
        <w:t xml:space="preserve">دعوت اختصاصی مکتب عرفان از افراد</w:t>
      </w:r>
    </w:p>
    <w:p>
      <w:pPr/>
      <w:r>
        <w:rPr>
          <w:rtl w:val="0"/>
          <w:lang w:val="fa-IR"/>
        </w:rPr>
        <w:t xml:space="preserve">ولى اگر آمدیم خودمان براى خدا تكلیف تعیین كردیم [دیگر این القائات خدا وجود ندارد] اینها به‌خاطر چیست؟! به‌خاطر استقلال است! به‌خاطر این است كه ما مستقل هستیم! آن جنبۀ لابشرطى را با فصلیت اشتباه گرفتیم! آن جنبۀ لابشرطى را باید در خودمان همیشه حفظ كنیم، خودمان را بشرط‌لا نكنیم، خودمان را بشرط‌شی‏ء نكنیم! بااینكه خدا براى ما فصل قرار داده است، بگوییم: خدایا ما همان لابشرطیم! فصل را براى خودت گذاشتى، آن فصل براى خودت، ما لابشرط هستیم و لابشرط هم كه </w:t>
      </w:r>
      <w:r>
        <w:rPr>
          <w:rStyle w:val="Arabi"/>
          <w:rtl w:val="0"/>
          <w:lang w:val="fa-IR"/>
        </w:rPr>
        <w:t xml:space="preserve">یَجتمع معَ ألفَ شرط</w:t>
      </w:r>
      <w:r>
        <w:rPr>
          <w:rtl w:val="0"/>
          <w:lang w:val="fa-IR"/>
        </w:rPr>
        <w:t xml:space="preserve">. این آن مكتب عرفان است كه انسان را به این وادى و به این حدائق و به این عوالم دعوت مى‏كند كه در جاى دیگر پیدا نخواهد شد. به جان بنده و شریف سركار فیض‌آثار مناقب‌شعار اگر همه‌جا را بگردید این مطالب در جاى دیگر نیست فقط باید در مكتب عرفان پیدا كنید!</w:t>
      </w:r>
    </w:p>
    <w:p>
      <w:pPr>
        <w:pStyle w:val="Heading6"/>
      </w:pPr>
      <w:r>
        <w:rPr>
          <w:rtl w:val="0"/>
          <w:lang w:val="fa-IR"/>
        </w:rPr>
        <w:t xml:space="preserve">انحصار شناخت امام به راه عرفان</w:t>
      </w:r>
    </w:p>
    <w:p>
      <w:pPr/>
      <w:r>
        <w:rPr>
          <w:rtl w:val="0"/>
          <w:lang w:val="fa-IR"/>
        </w:rPr>
        <w:t xml:space="preserve">اینجاست كه مرحوم علامۀ طباطبایى ـ رضوان الله تعالیٰ علیه ـ فرمودند: شناخت امام فقط منحصر به راه عرفان است!</w:t>
      </w:r>
      <w:r>
        <w:rPr>
          <w:rStyle w:val="FootnoteReference"/>
        </w:rPr>
        <w:footnoteReference w:id="9"/>
      </w:r>
      <w:r>
        <w:rPr>
          <w:rtl w:val="0"/>
          <w:lang w:val="fa-IR"/>
        </w:rPr>
        <w:t xml:space="preserve"> فقط اینجا است كه انسان مى‏تواند خود را در تحت ولایت قرار دهد. اما گریه كردن و پابرهنه در عزادارى رفتن و براى مولانا پا برهنه [این‌طرف و آن‌طرف رفتن] كارى انجام نمى‏دهد. اینها همه‌اش امورى است كه [صحیح نیست] بالأخره إن‌شاءالله خدا از همه قبول كند و اگر صادقانه باشد، خدا به نیت صادقانه نگاه مى‏كند! ولكن مكتب عرفان مى‏گوید: كفشت را بپوش، سرت را هم پایین نینداز، سرت بالا باشد سریع دنبال على مرتضى برو! سرافراز، خیلى رشید، خیلى عالى، سرت را پایین نینداز که خیال کنند مثل آدم قوز کرده هستی، خیلی‏ درست با لباس قشنگ و تمیز و خیلی خوب، خیلى با رشادت، خیلى با حریّت، انسان دنبال امامش برود و موبه‌مو آنچه را كه مى‏گوید باید اطاعت كند.</w:t>
      </w:r>
    </w:p>
    <w:p>
      <w:pPr/>
      <w:r>
        <w:rPr>
          <w:rtl w:val="0"/>
          <w:lang w:val="fa-IR"/>
        </w:rPr>
        <w:t xml:space="preserve">اینها همان كسانى هستند كه اگر امروز امام زمان علیه‌السّلام بیاید بگوید كه مولانا شیعه است مى‏گویند: دروغ مى‏گویی! نه‌خیر یا ابن‌رسول الله! قرار نبود شما از این حرف‌ها بزنید! تقیّه مى‏فرمایید؟! چند سال دیگر ظهور كنید تقیّه برداشته بشود! به جان شما قبول نخواهند كرد! به جان شما که عزیز هستید قسم می‌خورم اگر امام زمان بیاید و بگوید كه محى‏الدین شیعه بود و این حرف را كه زده از روى تسنّن بوده، یا اگر هم شیعه نبود مستضعف بود، پس چرا فحش به او مى‏دهید؟! مى‏گویند: نه‌خیر! مسئله این‌طور نیست! یك عمرى ما قلم زدیم و یك عمرى حرف زدیم حالا دست از این حرف‌ها برداریم؟! جواب مردم را چه بدهیم؟! جواب این شاگردهایی كه در درس ما نشستند و این حرف‌ها را شنیدند چه بدهیم؟! نمى‏گویند که این آخوندها تابه‌حال این حرف را از كجا مى‏زدند؟!</w:t>
      </w:r>
    </w:p>
    <w:p>
      <w:pPr>
        <w:pStyle w:val="Heading6"/>
      </w:pPr>
      <w:r>
        <w:rPr>
          <w:rtl w:val="0"/>
          <w:lang w:val="fa-IR"/>
        </w:rPr>
        <w:t xml:space="preserve">صداقت، شرط هدایت شدن توسط امام علیه‌السّلام</w:t>
      </w:r>
    </w:p>
    <w:p>
      <w:pPr/>
      <w:r>
        <w:rPr>
          <w:rtl w:val="0"/>
          <w:lang w:val="fa-IR"/>
        </w:rPr>
        <w:t xml:space="preserve">اینها چه کسانی هستند؟! اینها آنهایى هستند كه براى امام زمان نقشه تعیین كردند گرچه گریه كنند، گرچه مجلس عزا راه بیندازند، گرچه نذر و نذورات و چاى و شربت بدهند. اینها براى امام زمان تكلیف تعیین مى‏كنند! حالا اگر دلت را صاف كنى و متوسل به حضرت بشوى و بگویی که یا ابن‌رسول الله! من نمى‏فهمم، واقعاً نمى‏فهمم، خودت بیا به من راه را نشان بده، اگر حضرت نشان نداد من آن امام زمان را قبول ندارم! به شرط اینكه صادق باشی! نه‌اینکه در دلت نگه داشته باشی، اگر این‌طور باشی چنان آدم را سركار مى‏گذارد كه هفت جدّ آدم هم پى نمى‏برد! مسئله باید صافِ صاف باشد و واقعاً بگویی: من نمى‏فهمم، خدایا مطالب مختلفى شنیدم، خدایا مسائل مختلفى شنیدم، یا ابن‌رسول الله واقعاً اگر تو بیایى و بگویى، من دست از حرف‌هایم برمى‏دارم! امكان ندارد یك ثانیه به دو ثانیه بكشد [و حضرت هدایت نکند] امكانش نیست. چرا؟! چون او مشرف بر قلوب است و تمام قلوب در دست اوست و تمام‏ نیاز و تمام حركات زیر نظر او است، آن‌وقت او از نیت تو خبر ندارد؟! حتماً باید وقت ملاقات بگیرى تا به ایشان بگویی؟! آیا او خبر ندارد؟! اگر این‌طور باشد آن امام زمان ده‏شاهى نمى‏ارزد كه براى اینكه خدمتش برسى وقت ملاقات بگیرى! آن امام زمانى را ما قبول داریم که قبل از اینكه خاطره‏اى خطور كند او اطلاع دارد! آن امام زمانى كه نمى‏فهمد و باید حضورش برسى تا بفهمد یك ده‏شاهى زمان شاه ـ الآن كه نیست یك ده‏شاهى زمان شاه که زرد و مسى هم بود ـ ارزش و فایده ندارد. آن امام زمان مثل ماست منتها یك مقدار بالاتر است! پسر پیغمبر است! نسب او به پیغمبر ده یا دوازده‏تا بیشتر فاصله ندارد [ولی ما هم که سید هستیم] سى یا چهل‏تا فاصله داریم!</w:t>
      </w:r>
    </w:p>
    <w:p>
      <w:pPr>
        <w:pStyle w:val="Heading6"/>
      </w:pPr>
      <w:r>
        <w:rPr>
          <w:rtl w:val="0"/>
          <w:lang w:val="fa-IR"/>
        </w:rPr>
        <w:t xml:space="preserve">امام زمان علیه‌السّلام مجراى فیض عالم</w:t>
      </w:r>
    </w:p>
    <w:p>
      <w:pPr/>
      <w:r>
        <w:rPr>
          <w:rtl w:val="0"/>
          <w:lang w:val="fa-IR"/>
        </w:rPr>
        <w:t xml:space="preserve">امام زمان این است، کسی است كه مجراى فیض است، مجراى فیض یعنى چه؟ یعنى اگر نباشد فیض منقطع و بسته است، تمام عالم را عدم مى‏گیرد و همه‌جا یك‌دفعه سیاه می‌شود، دیده‌اید؟! من یك دفعه دیدم كه خورشید كسوف كرده بود و كسوف تامّ بود، همه‌جا روشن بود اما یك‌دفعه همه‌جا سیاه شد! نه آن سیاه سیاهى كه آدم تعجب مى‏كند! جالب است كه همه چیز روشن بود یك‌دفعه سیاه شد. حالا این چراغ را خاموش مى‏كنى چیزى نیست ولى دنیا خیلى جالب مى‏شود که یک‌دفعه سیاه بشود و یك‌دفعه كنار كه مى‏رود همه چیز و همۀ عالم روشن می‌شود. این امام زمان است.</w:t>
      </w:r>
    </w:p>
    <w:p>
      <w:pPr/>
      <w:r>
        <w:rPr>
          <w:rtl w:val="0"/>
          <w:lang w:val="fa-IR"/>
        </w:rPr>
        <w:t xml:space="preserve">همۀ ماها همین هستیم همۀ ما براى خدا، پیغمبر، امام و ملائكه نقشه تعیین مى‏كنیم والاّ كسى كه دنبال آن نقشه‏ها نمى‏رود.</w:t>
      </w:r>
    </w:p>
    <w:p>
      <w:pPr/>
      <w:r>
        <w:rPr>
          <w:rtl w:val="0"/>
          <w:lang w:val="fa-IR"/>
        </w:rPr>
        <w:t xml:space="preserve">مرحوم آقای حداد ـ رضوان الله تعالیٰ علیه ـ در آن سفری که به طهران آمده بوده‌اند آنها در [این روز] صحبت‌هایی می‌کردند که حاج هادی ابهری در آنجا بود خیلی منقلب شد و خیلی گریه کرده بود و بعد مطالبی را گفت که مرحوم آقا ـ رضوان الله تعالیٰ علیه ـ خیلی با او برخورد کردند نه‌اینکه چیز [تندی بگویند بلکه] حرف منبّه زدند که شما چه فکرهایی می‌کنید! این را جایی نیاورده‌اند؟!</w:t>
      </w:r>
    </w:p>
    <w:p>
      <w:pPr>
        <w:pStyle w:val="SoalMatn"/>
      </w:pPr>
      <w:r>
        <w:rPr>
          <w:rtl w:val="0"/>
          <w:lang w:val="fa-IR"/>
        </w:rPr>
        <w:t xml:space="preserve">تلمیذ</w:t>
      </w:r>
      <w:r>
        <w:rPr>
          <w:rtl w:val="0"/>
          <w:lang w:val="fa-IR"/>
        </w:rPr>
        <w:t xml:space="preserve">: خودتان در جلسۀ عنوان بصری نقل کردید.</w:t>
      </w:r>
    </w:p>
    <w:p>
      <w:pPr/>
      <w:r>
        <w:rPr>
          <w:rtl w:val="0"/>
          <w:lang w:val="fa-IR"/>
        </w:rPr>
        <w:t xml:space="preserve">استاد:</w:t>
      </w:r>
      <w:r>
        <w:rPr>
          <w:rtl w:val="0"/>
          <w:lang w:val="fa-IR"/>
        </w:rPr>
        <w:t xml:space="preserve"> بله، من اصلاً در آن مجلس بودم، گفتم حالا شاید مثلاً جایی آورده باشند.</w:t>
      </w:r>
    </w:p>
    <w:p>
      <w:pPr/>
      <w:r>
        <w:rPr>
          <w:rtl w:val="0"/>
          <w:lang w:val="fa-IR"/>
        </w:rPr>
        <w:t xml:space="preserve">خلاصه همیشه این قضیه بود و خیلی عجیب است که چرا آدم باید برای پیشبرد مسیرش به تهمت و دروغ متوسل بشود! چرا؟! همیشه به راست متوسل بشوید و همیشه راست باشید [اگر] خلاف هم می‌روید راست باشید مخالف هستید راست باشید، راست! دروغ چرا؟!</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 </w:t>
      </w:r>
      <w:r>
        <w:rPr>
          <w:rtl w:val="0"/>
          <w:lang w:val="fa-IR"/>
        </w:rPr>
        <w:t xml:space="preserve">نهج البلاغه</w:t>
      </w:r>
      <w:r>
        <w:rPr>
          <w:rtl w:val="0"/>
          <w:lang w:val="fa-IR"/>
        </w:rPr>
        <w:t xml:space="preserve"> (صبحی صالح)، ص 418.</w:t>
      </w:r>
    </w:p>
  </w:footnote>
  <w:footnote w:id="5">
    <w:p>
      <w:pPr>
        <w:pStyle w:val="FootnoteText"/>
      </w:pPr>
      <w:r>
        <w:rPr>
          <w:rStyle w:val="FootnoteReference"/>
        </w:rPr>
        <w:footnoteRef/>
      </w:r>
      <w:r>
        <w:t xml:space="preserve"> </w:t>
      </w:r>
      <w:r>
        <w:rPr>
          <w:rtl w:val="0"/>
          <w:lang w:val="fa-IR"/>
        </w:rPr>
        <w:t xml:space="preserve">. سوره فتح (48) آیه 27. </w:t>
      </w:r>
      <w:r>
        <w:rPr>
          <w:rtl w:val="0"/>
          <w:lang w:val="fa-IR"/>
        </w:rPr>
        <w:t xml:space="preserve">نور ملكوت قرآن</w:t>
      </w:r>
      <w:r>
        <w:rPr>
          <w:rtl w:val="0"/>
          <w:lang w:val="fa-IR"/>
        </w:rPr>
        <w:t xml:space="preserve">، ج ‏4، ص 316:</w:t>
      </w:r>
    </w:p>
    <w:p>
      <w:pPr>
        <w:pStyle w:val="FootnoteText"/>
      </w:pPr>
      <w:r>
        <w:rPr>
          <w:rtl w:val="0"/>
          <w:lang w:val="fa-IR"/>
        </w:rPr>
        <w:t xml:space="preserve">«هرآینه تحقیقاً كه خداوند رؤیا و خواب پیامبرش را به حقّ، راست و درست نمود، كه البته شما در مسجدالحرام در صورت اذن و مشیت الهى با حال امن و امنیت، بدون اندك خوفى داخل مى‏شوید؛ درحالى‏كه سرهایتان را به‌جهت بیرون شدن از احرام تراشیده و یا مویش را كوتاه كرده‏اید! پس خداوند دانست آنچه را كه شما نمى‏دانید. و پیش از فتح مكه فتحى دیگر زودتر از آن نصیب شما فرمود.»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المستدرك على الصحیحین</w:t>
      </w:r>
      <w:r>
        <w:rPr>
          <w:rtl w:val="0"/>
          <w:lang w:val="fa-IR"/>
        </w:rPr>
        <w:t xml:space="preserve">، ج 3، ص 39؛ </w:t>
      </w:r>
      <w:r>
        <w:rPr>
          <w:rtl w:val="0"/>
          <w:lang w:val="fa-IR"/>
        </w:rPr>
        <w:t xml:space="preserve">تفسیر الطبری</w:t>
      </w:r>
      <w:r>
        <w:rPr>
          <w:rtl w:val="0"/>
          <w:lang w:val="fa-IR"/>
        </w:rPr>
        <w:t xml:space="preserve">، ج 7، ص 327؛ </w:t>
      </w:r>
      <w:r>
        <w:rPr>
          <w:rtl w:val="0"/>
          <w:lang w:val="fa-IR"/>
        </w:rPr>
        <w:t xml:space="preserve">الاستیعاب</w:t>
      </w:r>
      <w:r>
        <w:rPr>
          <w:rtl w:val="0"/>
          <w:lang w:val="fa-IR"/>
        </w:rPr>
        <w:t xml:space="preserve">، ج 3، ص 1074.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«سراندیب: نام کوهی است مشهور که آدم صفی علیه‌السّلام از بهشت بدانجا فرود آمد و مقام کرد و نقش قدم او در آنجا هست.»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دلائل النبوة، </w:t>
      </w:r>
      <w:r>
        <w:rPr>
          <w:rtl w:val="0"/>
          <w:lang w:val="fa-IR"/>
        </w:rPr>
        <w:t xml:space="preserve">ج 4، ص 106؛</w:t>
      </w:r>
      <w:r>
        <w:rPr>
          <w:rtl w:val="0"/>
          <w:lang w:val="fa-IR"/>
        </w:rPr>
        <w:t xml:space="preserve"> تاریخ الاسلام</w:t>
      </w:r>
      <w:r>
        <w:rPr>
          <w:rtl w:val="0"/>
          <w:lang w:val="fa-IR"/>
        </w:rPr>
        <w:t xml:space="preserve">، ذهبی، ج 2، ص 371.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