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پنجم</w:t>
      </w:r>
    </w:p>
    <w:p>
      <w:pPr>
        <w:pStyle w:val="Heading5"/>
      </w:pPr>
      <w:r>
        <w:rPr>
          <w:rtl w:val="0"/>
          <w:lang w:val="fa-IR"/>
        </w:rPr>
        <w:t xml:space="preserve">جنس در وعاء عقلى و فرق آن با وجود خارجی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مِمّا یَجِبُ أن یُعلَمَ أنَّهُ فَرقٌ ما بَینَ الجِنسِ فِى المُرَکّباتِ الخارِجیَةِ وَ بَینَهُ فى البَسائِطِ فَإنَّ الجِنسَ فى المُرَکّباتِ الخارجیةِ یُمکِنَ أن یُجَرَّدَ عَن جِنسیَتِه وَ یُؤخَذَ بِحَیث یَصیرُ نوعاً حَقیقیاً لا بِفَصلٍ مِنَ الفُصولِ بَل بِنَفسِ طَبیعَتِه</w:t>
      </w:r>
      <w:r>
        <w:rPr>
          <w:rtl w:val="0"/>
          <w:lang w:val="fa-IR"/>
        </w:rPr>
        <w:t xml:space="preserve">.</w:t>
      </w:r>
      <w:r>
        <w:rPr>
          <w:rStyle w:val="FootnoteReference"/>
        </w:rPr>
        <w:footnoteReference w:id="1"/>
      </w:r>
    </w:p>
    <w:p>
      <w:pPr>
        <w:pStyle w:val="Heading6"/>
      </w:pPr>
      <w:r>
        <w:rPr>
          <w:rtl w:val="0"/>
          <w:lang w:val="fa-IR"/>
        </w:rPr>
        <w:t xml:space="preserve">تفاوت معنای حرفی و معنای استقلالی</w:t>
      </w:r>
    </w:p>
    <w:p>
      <w:pPr/>
      <w:r>
        <w:rPr>
          <w:rtl w:val="0"/>
          <w:lang w:val="fa-IR"/>
        </w:rPr>
        <w:t xml:space="preserve">مرحوم آخوند در این مسئله به یك نكته‏اى اشاره دارند که مسئله به جنس در وعاء عقلى و فرق آن با وجود خارجی برمی‌گردد. گفتیم كه جنس در ظرف ذهن یك حقیقت مبهمه‏اى است كه احتیاج به فصل دارد و آن جنس ـ آن حیوان ـ فى‌حدّنفسه، معناى فصلى و جنسى خود را نمى‏تواند برساند مگر اینكه به ضمّ ضمیمه باشد؛ یعنى وقتى كه در ذهن یك حیوان را تصور مى‏كنید این تصور حیوان براى شما یك معناى مبهم است گرچه تصور مى‏كنید و این تصور شما یك تصور استقلالى است و یك‏ تصور حرفى مثل آن معناى حرفى نیست ولكن در كُنه و ذات خود آن استقلال، ابهام خوابیده است و یك چیزِ روشن نیست. وقتى از شما سؤال مى‏كنند که این شیئى كه الآن در اینجا هست چه خاصیتى دارد؟ شما مى‏گویید: حیوانیت آن براى ما مشخص است اما اینكه حالا این حیوان چه نوع و چه فصلى دارد، نمى‏دان باید تحقیق كنم تا ببینم در حیوانات نظیرى برای آن پیدا مى‏شود. مثلاً باید خصوصیات و اطوار آن را ببینیم تا بفهمیم كه چه فصلى را مى‏توانیم به آن ملحق كنیم ولى حیوانیتش مثل اینكه حركت مى‏كند، غذا مى‏خورد، كارها و حركات آن مثل حیوان است، اینها یك معنا را در ذهن انسان مى‏آورد كه آن معناى استقلالى است گرچه مبهم است ولی ابهام بودن منافاتى با استقلال ندارد و این غیر از معناى حرفى است كه در معناى حرفى اصلاً خود لحاظ معناى حرفى باید همراه با شی‏ء دیگرى باشد.</w:t>
      </w:r>
    </w:p>
    <w:p>
      <w:pPr/>
      <w:r>
        <w:rPr>
          <w:rtl w:val="0"/>
          <w:lang w:val="fa-IR"/>
        </w:rPr>
        <w:t xml:space="preserve">من‌باب‌مثال وقتى كه شما مى‏گویید: من از قم حركت مى‏كنم و به‌سمت تهران مى‏روم، این ابتدائیت حركت را نمى‏توانید بدون اینكه قم را در اینجا ذكر كنید از «</w:t>
      </w:r>
      <w:r>
        <w:rPr>
          <w:rStyle w:val="Arabi"/>
          <w:rtl w:val="0"/>
          <w:lang w:val="fa-IR"/>
        </w:rPr>
        <w:t xml:space="preserve">مِن</w:t>
      </w:r>
      <w:r>
        <w:rPr>
          <w:rtl w:val="0"/>
          <w:lang w:val="fa-IR"/>
        </w:rPr>
        <w:t xml:space="preserve">» بفهمید؛ یعنى «</w:t>
      </w:r>
      <w:r>
        <w:rPr>
          <w:rStyle w:val="Arabi"/>
          <w:rtl w:val="0"/>
          <w:lang w:val="fa-IR"/>
        </w:rPr>
        <w:t xml:space="preserve">مِن</w:t>
      </w:r>
      <w:r>
        <w:rPr>
          <w:rtl w:val="0"/>
          <w:lang w:val="fa-IR"/>
        </w:rPr>
        <w:t xml:space="preserve">» كه در اینجا مى‏آید باید بعد از یك كلمۀ استقلالى باشد یعنى یك معناى اسمى باشد كه با تدلى به آن معنا بتوانید این حركت و این ابتدائیت را برسانید والاّ غیر از این امكان ندارد. پس براى اینكه بتوانید آن معناى حرفى را بیان كنید چاره‏اى به ضمّ ضمیمه ندارید ولى اگر همین ابتدائیت را بخواهید به‌صورت استقلالى بیان كنید مثلاً به شما بگویند كه ابتدائیت شروع یك كارى است كه در تحقق او فاصلۀ زمانى یا فاصلۀ مكانی دخالت دارد، اسم آن شروع را «ابتدائیت» مى‏گذارید و مى‏گویید که ابتدا با انتها فرق مى‏كند.</w:t>
      </w:r>
    </w:p>
    <w:p>
      <w:pPr/>
      <w:r>
        <w:rPr>
          <w:rtl w:val="0"/>
          <w:lang w:val="fa-IR"/>
        </w:rPr>
        <w:t xml:space="preserve">مثلاً من به شما گفتم كه از ابتداى این خط شروع به فلان كار بكن، شما رفته‌ای انتهاء آن را انجام داده‌ای، اینكه من گفتم که این كار را ابتدای آن بكن نه انتهای آن، معلوم مى‏شود ابتدائیت فى‌حدّنفسه معناى استقلالى است و انتها هم یك معناى استقلالى است؛ ابتدائیت و انتهائیت! اگر بخواهم بگویم که از این خط شروع كن، من باید خط را هم بیاورم و ضمیمه كنم و بگویم که شما از این جاى خط مشغول نوشتن بشوید تا به آن نقطۀ انتها برسید. این معنا، معناى حرفى است. در معانى ذهنیه این‌طور نیست كه چون ذهن مى‏تواند یك معانى ابهامى را ادراك بكند آن معناى ابهامى حتماً باید معناى حرفى باشد بلكه مى‏تواند معناى استقلالى باشد و ذهن یك معناى استقلالى كه نیازى به امر دیگرى ندارد را احضار و خلق مى‏كند و بعد آن معناى استقلالى را با امر دیگرى ضمیمه مى‏كند یا ضمیمه نمى‏كند، آن مطلب دیگرى است؛ اگر ضمیمه كرد نوع مى‏شود و اگر ضمیمه نكرد همان معناى بشرط‌لائى كه خود جنس تنها باشد و دراین‌صورت دیگر نمى‏تواند بر نوع حمل بشود، آن را هم مى‏تواند بیاورد یعنى در ذهن خود مى‏تواند بیاورد و كار ذهن است و وقتى كار ذهن است ذهن مى‏تواند تجرید كند و این را نسبت به موارد مختلف اعتبار كند و می‌تواند لحاظ‌هاى مختلفى داشته باشد.</w:t>
      </w:r>
    </w:p>
    <w:p>
      <w:pPr/>
      <w:r>
        <w:rPr>
          <w:rtl w:val="0"/>
          <w:lang w:val="fa-IR"/>
        </w:rPr>
        <w:t xml:space="preserve">این مسئله‌ای هست كه مرحوم آخوند مى‏خواهند در اینجا نسبت به این قضیه این توضیح را بفرمایند؛ بگویند كه این معنایی را كه براى جنس كردید یك معناى ذهنى بود، جنس در این معنا و حضور ذهنی به‌عنوان یك ماهیت مبهمه درنظر گرفته مى‏شود و با ضمّ به فصل، نوعى را به‌وجود مى‏آورد كه آن ماهیت مبهمه معناى لابشرطى است. در لابشرطى بودن آن هست كه با ضمیمۀ به فصل، حقیقت نوعیه را به‌وجود مى‏آورد و حالا حیوان یا ضمیمۀ ناطق یا ناعق یا افتراس در فصول مختلفه مى‏شود. آن حیوانیت لابشرطى وقتى كه ضمیمه شد یك حقیقت نوعیه را در ذهن ایجاد مى‏كند. حالا ببینیم که آیا جنس که آن را ماده براى صورت قرار داده‌ایم، در خارج همین معناى ابهامى را دارد كه در ذهن داشت و بدون آن معناى مبهم نمى‏توانستیم به خود آن جنس در خارج، صورت خارجى و صورت عینى ببخشیم یااینكه این‌طور نیست و جنس در خارج یك واقعیت مستقلِ قائم به ذات خودش است كه صورت‌های مختلفى به خود مى‏گیرد؟!</w:t>
      </w:r>
    </w:p>
    <w:p>
      <w:pPr>
        <w:pStyle w:val="Heading6"/>
      </w:pPr>
      <w:r>
        <w:rPr>
          <w:rtl w:val="0"/>
          <w:lang w:val="fa-IR"/>
        </w:rPr>
        <w:t xml:space="preserve">معنای جسمیت</w:t>
      </w:r>
    </w:p>
    <w:p>
      <w:pPr/>
      <w:r>
        <w:rPr>
          <w:rtl w:val="0"/>
          <w:lang w:val="fa-IR"/>
        </w:rPr>
        <w:t xml:space="preserve">ایشان مى‏فرمایند که اگر در خارج بخواهیم تصور كنیم مثلاً مى‏گوییم که جسم، جنسِ براى این انواع خارجى است؛ جسم براى زید، حیوان، بقر، غنم، حمار، سمك و اسد است. یك مادۀ مشترك که در تمام اینها هست عبارت از همان جسمیت است همان‌طور جسم براى كتاب، دفتر، كاغذ و امثال‌ذلک است. خب این جسمی كه الآن در اینجا به‌عنوان جنس برای اینها قرار دادید آیا خود معنای جسم مبهم است كه براى رفع ابهام خود احتیاج به صورت دارد یااینكه دیگر جسم در اینجا ابهام ندارد و گرچه متشكّل به اَشكال مختلف و متصور به صور مختلف است ولى فى‌حدّنفسه ابهام ندارد؟ همین‌كه شما به این دست مى‏زنید و مى‏گویید که این جسم است اما نمى‏دانید كتان است یا صوف یا یك چیز دیگر است، همین‏كه جسمیت آن را مى‏فهمید، اگر این در كُنه و ذات خودش حقیقت استقلالى نداشت و حقیقت ابهامى منتفى بود، نمى‏توانستید حتى جسمیت را هم بفهمید. شما جسمیت این را ادراک کردید یا نوع جسمیت را در اینجا ادراك كردید؟! آنچه كه در اینجا ادراك مى‏كنید و آنچه كه دست شما با آن تماس پیدا مى‏كند و متوجه مى‏شوید یك چیزى هست، «آن چیزی هست» چیست؟! آیا دستتان به هوا خورده یا دستتان به یك چیزى خورده است؟! دستتان به یك شیئى خورده كه آن شی‏ء را در ذهن خود به یك واقعیت ملموس و رو پاى خود ایستاده احساس مى‏كنید. این همان معناى جسمیت است. </w:t>
      </w:r>
      <w:r>
        <w:rPr>
          <w:rStyle w:val="Arabi"/>
          <w:rtl w:val="0"/>
          <w:lang w:val="fa-IR"/>
        </w:rPr>
        <w:t xml:space="preserve">شی‏ءٌ جوهرٌ ذو أبعادٍ ثَلاثَةٍ مُتِکَمِّم</w:t>
      </w:r>
      <w:r>
        <w:rPr>
          <w:rtl w:val="0"/>
          <w:lang w:val="fa-IR"/>
        </w:rPr>
        <w:t xml:space="preserve">، این واقعیتى است كه الآن در اینجا به‌دست آوردید.</w:t>
      </w:r>
    </w:p>
    <w:p>
      <w:pPr/>
      <w:r>
        <w:rPr>
          <w:rtl w:val="0"/>
          <w:lang w:val="fa-IR"/>
        </w:rPr>
        <w:t xml:space="preserve">بعد یك مقدار بیشتر دقت مى‏كنید و بیشتر دست خود را مى‏كشید، مى‏گویید: این فرش است؛ اینكه الآن دست من با آن تماس گرفته است سَجّاد است، این فرش است كه الآن در اینجا با دست من برخورد كرد. اینكه صورت بعدى را متوجه مى‏شوید به‌خاطر این نیست كه صورت قبلى درنظر شما نیامده بود و خود حقیقت این در نزد شما نیامده بود و این داراى معناى ابهام بود. در اینكه این جسم است ابهامی وجود ندارد و معناى آن تام است. در جسم بودن معنای آن تام است اما اینكه این جسم به چه صورتى هست و صورت نوعیه‏اش چیست، دارای ابهام است. حالا به آن‌هم با دقت و لمس بیشتر و دیدن خود آن شی‏ء پی می‌برید. اگر خیلى مى‏خواهید بیشتر دقت كنید در آزمایشگاه ببرید و ببینید ماهیتش چیست. این مراتب بعد است كه در هر مرتبه یك پرده‏اى از فصلیت و از صورت براى شما روشن‏تر مى‏شود تااینكه به آن پردۀ آخر مى‏رسید كه همان چیزى است كه واقعیت ربطیۀ آن شی‏ء با مبدأ را مى‏تواند براى شما توضیح بدهد و تفسیر كند.</w:t>
      </w:r>
    </w:p>
    <w:p>
      <w:pPr/>
      <w:r>
        <w:rPr>
          <w:rtl w:val="0"/>
          <w:lang w:val="fa-IR"/>
        </w:rPr>
        <w:t xml:space="preserve">این چیزهایى كه داریم یك‌به‌یك به او مى‏رسیم، صورتى بعد از صورت است و بعد از صورت عمقى بعد از عمق است و بطنى بعد از بطن است تااینكه به آن شخص برسیم، فرض كنید شخصى عالم هست، ولىّ خدا هست، شنیدیم كه یك ولىّ خدایى در جایى هست و چه و چه و از این مسائل، بلند مى‏شویم و می‌رویم اول در مى‏زنیم و می‌بینیم نشسته است و ما هم مثل بقیه كنار او مى‏نشینیم. خب او هم هیچ حرفى نمی‌زند. تا بیرون آمدیم می‌گویند که آقا شما ولىّ خدا را دیدی؟! مى‏گوییم: آنجا رفتیم و او هم یك آدم بود؛ یك آدم معمم بود و ما چیزى نفهمیدیم و چیزى احساس نكردیم! با او حرف نزدیم، نشست و برخاست نكردیم، مسافرت نرفتیم و چیزى احساس نكردیم، خیلى خب این بار اول است. بعد دفعۀ دوم پیش او مى‏رویم و حركات و سكنات او را درنظر مى‏گیریم، مى‏بینیم كه نه! مثل اینكه یك چیزى هست! یك كیفیتى در صحبت دارد. مثل اینكه [در مقایسه با افراد دیگر] در وضعیت، ارتباط، در این خصوصیات و اینها یك تفاوتى دارد، وقتی برگشتیم مى‏گویند: آقا شما هم شناختى كه او ولىّ خداست؟! مى‏گویم که والله نفهمیدم ولى احساس مى‏كنم که یك چیز كوچکی شاید در این قضیه باشد، حالا یك مقدار بیشتر مى‏رویم و یك مقدار ارتباطمان را بیشتر مى‏كنیم.</w:t>
      </w:r>
    </w:p>
    <w:p>
      <w:pPr/>
      <w:r>
        <w:rPr>
          <w:rtl w:val="0"/>
          <w:lang w:val="fa-IR"/>
        </w:rPr>
        <w:t xml:space="preserve">ببینید این نحوه‏اى است كه یك‌به‌یك این مسائل دارند مى‏آیند درعین‌حال آن شخص هر کسی که هست سر جایش هست؛ اگر شخص ولىّ خدا باشد سر جایش هست و اگر فرد عادى هم باشد سر جایش هست! او که تكان نمى‏خورد! من دائماً چهره عوض مى‏كنم و اطلاع من نسبت به آن ماهیت خارجى بیشتر مى‏شود و صورت‏هایى كه براى من حاصل مى‏شود، صورت‌هایی هست که یكى پس از دیگرى پیدا مى‏شود ولی او این‌طور نیست سر جای خود نشسته است؛ دیروز و امروز و فردای او باهم تفاوتى ندارد. فردا یك مقدار نزدیک‌تر مى‏رویم و صحبت مى‏كنیم، مى‏بینیم که حرف‌هایش فرق مى‏كند!</w:t>
      </w:r>
    </w:p>
    <w:p>
      <w:pPr/>
      <w:r>
        <w:rPr>
          <w:rtl w:val="0"/>
          <w:lang w:val="fa-IR"/>
        </w:rPr>
        <w:t xml:space="preserve">یك بنده خدایی بعد از شهادت مرحوم مطهرى پیش مرحوم آقا ـ رضوان الله تعالیٰ علیه ـ آمده بود و مى‏گفت كه از مرحوم مطهرى شنیده بودم كه یك هم‌چنین كسى و هم‌چنین فردى هست منتها آن موقع پیش ایشان نرفته بودم. بعد كه ایشان فوت كردند، دیگر ما خیلى ناراحت بودیم تااینكه بعد از مدت‌ها یك روز ظهر مسجد رفتیم و دیدیم ایشان نشسته‏اند، نماز ظهر را خوانده‏اند و هنوز نماز عصر نشده است؛ یعنی براى نماز عصر بلند نشدند. رفتم، نشستم و سلام كردم و بدون اینكه خودم را معرفى بكنم گفتم که آقا یک سؤالى دارم خواستم از خدمتتان بپرسم، گفتند که بفرمایید. سؤال راجع به یك قضیۀ علمى بود، سؤالى از ایشان كردیم و ایشان یك جوابى به ما دادند و برگشتیم. پیش رفیقم رفتم و گفتم که فلانى یكى را پیدا كردم که یک‌سروگردن از آقای‏ مطهرى بالاتر هست!</w:t>
      </w:r>
    </w:p>
    <w:p>
      <w:pPr>
        <w:pStyle w:val="Heading6"/>
      </w:pPr>
      <w:r>
        <w:rPr>
          <w:rtl w:val="0"/>
          <w:lang w:val="fa-IR"/>
        </w:rPr>
        <w:t xml:space="preserve">قیاس مع‏الفارق بودن مقایسۀ اولیاء خدا با دیگران</w:t>
      </w:r>
    </w:p>
    <w:p>
      <w:pPr/>
      <w:r>
        <w:rPr>
          <w:rtl w:val="0"/>
          <w:lang w:val="fa-IR"/>
        </w:rPr>
        <w:t xml:space="preserve">این برداشت اول است. بعد كه آدم مى‏آید و مى‏رود و مأنوس مى‏شود ...، حالا خب بالأخره مدركات هر كسى متفاوت است و نمى‏توانیم بر مدركات افراد تعییب كنیم زیرا هر كسى بر طبق مدركات خود و سعۀ وجودى‏ خود هست. «یک‌سروگردن بالاتر» اصلاً در اینجا معنا ندارد كه انسان بخواهد این‌گونه تعابیر را بیاورد. قیاس اصلاً قیاس مع‏الفارق است! سروگردن چیست؟! او در یك افقى است، ماها در یك افق دیگر هستیم! اصلاً ما كجا و او کجا؟! افكار ما، افكار كتابى است، رفتار ما، رفتار متعارف و عادى است، نگرش ما، نگرش دنیوى است. خب حالا فرض كنید یك نمازى هم مى‏خوانیم و روزه‏اى هم مى‏گیریم و تبلیغى هم براى خدا مى‏كنیم و ابوحنیفه را هم از مفاخر اسلام مى‏شماریم</w:t>
      </w:r>
      <w:r>
        <w:rPr>
          <w:rStyle w:val="FootnoteReference"/>
        </w:rPr>
        <w:footnoteReference w:id="2"/>
      </w:r>
      <w:r>
        <w:rPr>
          <w:rtl w:val="0"/>
          <w:lang w:val="fa-IR"/>
        </w:rPr>
        <w:t xml:space="preserve"> ولى خب علیٰ‌کلّ‌حال آن افقى كه آنها دارند و وضعیتى كه آنها دارند اصلاً در مُخیَّلۀ دیگران نمى‏گنجد! واقعیت مسئله این است؛ آنچه در آن عوالمِ آنها مى‏گذرد اصلاً در مخیله نمی‌گنجد یعنى اگر من بنشینم تا روز قیامت هم فكر كنم كه چیست، نمی‌فهمم چیست! مگر می‌شود؟! نمی‌فهمم!</w:t>
      </w:r>
    </w:p>
    <w:p>
      <w:pPr/>
      <w:r>
        <w:rPr>
          <w:rtl w:val="0"/>
          <w:lang w:val="fa-IR"/>
        </w:rPr>
        <w:t xml:space="preserve">من‌باب‌مثال به یك بچۀ پنج‌ساله بگویید که آقا این‌قدر عروسى خوب است! همین‌طور نگاه مى‏كند و اگر خیلى بفهمد گمان می‌کند مثل این مجسمه‌ها که روی آنها تور مى‏اندازند و در مغازه‌ها هست، عروسی هم مثل این است، می‌گوید: اگر عروسی خوب است یكى از اینها كه در مغازه هست بخریم! او از عروس چه دیده است؟! از عروس فقط یك لباس سفید دیده است! چیز دیگر را بابای او دیده است او که ندیده است! مى‏گوید: خب بلند شوید برویم یكى از اینها بخریم! چه مى‏فهمد؟! واقعاً چه مى‏فهمد؟! شما خودتان را بكُشید كه بتوانید به این بفهمانید، نمى‏فهمد! چرا؟! چون وضع ‌و حال او اصلاً این نیست، سِنّ او اقتضاء نمى‏كند لذا باید صبر كنید تا بزرگ بشود تا كم‏كم خود او سروگوشش بجنبد تا بفهمد كه بابایش ده یا پانزده سال پیش چه مى‏گفت!</w:t>
      </w:r>
    </w:p>
    <w:p>
      <w:pPr/>
      <w:r>
        <w:rPr>
          <w:rtl w:val="0"/>
          <w:lang w:val="fa-IR"/>
        </w:rPr>
        <w:t xml:space="preserve">ما خودمان را بكشیم ـ نه ما، بنده و بالاتر از بنده ـ نمى‏توانیم تا روز قیامت بفهمیم یعنى اصلاً در یك سعۀ وجودى و در یك مرتبه‌ای از فهم هستیم كه براى رسیدن به آن مرتبه جز اینكه انسان این راه را برود، هیچ راهى نیست. اگر تا روز قیامت كتاب و قرآن بخوانید نمى‏فهمید. تا روز قیامت توسل كنید، نمی‌فهمید. هر کاری مى‏خواهید بكنید این یک راه دیگر است. تا روز قیامت به احادیث اهل‌بیت علیهم‌السّلام مراجعه كنید، نمی‌فهمید. ارجاع و رجوع به احادیث فهم انسان را نسبت به این مطالب تا حدودى در حدّ اجمال روشن مى‏كند اما آیا این فهم، خود نفس را هم دگرگون مى‏كند؟! خب اگر این‌طور بود خود علامۀ مجلسى اول عارف بالله بود! چون او همۀ روایات ائمه را جمع‏آورى و دسته‏بندى كرده بود! بله، مطالعه و ممارست در اینها یك چیزهایى را به انسان نشان مى‏دهد كه خبرهایى هست، یك مسائلى و مطالبى هست كه باید پیگیرى كرد و باید به‌دنبال آنها رفت اما اینكه انسان فقط بنشیند [و به اینها اکتفاء کند، به جایی نمی‌رسد] لذا مى‏بینیم افرادی هستند که هفتاد یا هشتاد سال عمر مى‏كنند و در این احادیث خیلى هم وارد و خیلى هم چه و چه هستند، بعد یک‌دفعه نگاه مى‏كنید می‌گویید: اِ پس چرا این‌طوری حرف زد؟!</w:t>
      </w:r>
    </w:p>
    <w:p>
      <w:pPr/>
      <w:r>
        <w:rPr>
          <w:rtl w:val="0"/>
          <w:lang w:val="fa-IR"/>
        </w:rPr>
        <w:t xml:space="preserve">من یك صحبتى از یكى شنیده بودم که یك بنده خدایى در قم آمده بود صحبت كرده بود ـ همان كسى كه زیارت عاشورا را انكار كرده بود و گفته بود که زیارت عاشورا سند ندارد و برای امام نیست! ـ بعد سؤال كرده بودند كه حضرت بدون بیّنه و بدون شاهد و دلیل ظهور كنند این چطور مى‏شود؟! این چه قسمى هست؟! ایشان این‌طور پاسخ داده بود كه وقتى حضرت ظهور مى‏كنند یك صندلى مى‏آورند یك جا مى‏نشینند و یك نورى از آسمان به زمین مى‏خورد، حضرت مى‏روند در آن نورى كه از آن بالا آمده و به زمین خورده است می‌نشینند!</w:t>
      </w:r>
    </w:p>
    <w:p>
      <w:pPr/>
      <w:r>
        <w:rPr>
          <w:rtl w:val="0"/>
          <w:lang w:val="fa-IR"/>
        </w:rPr>
        <w:t xml:space="preserve">حالا این نورِ لیزر است یا اشعۀ ماوراء بنفش یا مادون قرمز است، ایشان اینها را نگفتند! ما باید بدانیم که نور از اینها خارج نیست! این نورى كه از آسمان مى‏آید و به زمین مى‏خورد مثل سوراخى که در سقف این خانه‏هاى قدیمى بود و نور داخل مى‏آمد است! حضرت در آن نور مى‏نشیند و وقتى در آن نور نشستند، دیگر آن حقایق بر او روشن مى‏شود و نیازى به بیّنه ندارد! جناب محترم! پس این ائمه كه از واقعیات و احوال خبر مى‏دادند، نور آنها كجا بود؟! وقتی كه امیرالمؤمنین علیه‌السّلام به سعد وقاص گفت: «</w:t>
      </w:r>
      <w:r>
        <w:rPr>
          <w:rtl w:val="0"/>
          <w:lang w:val="fa-IR"/>
        </w:rPr>
        <w:t xml:space="preserve">در خانۀ تو گوساله‌ای هست كه حسین فرزندم را می‌كشد</w:t>
      </w:r>
      <w:r>
        <w:rPr>
          <w:rtl w:val="0"/>
          <w:lang w:val="fa-IR"/>
        </w:rPr>
        <w:t xml:space="preserve">»،</w:t>
      </w:r>
      <w:r>
        <w:rPr>
          <w:rStyle w:val="FootnoteReference"/>
        </w:rPr>
        <w:footnoteReference w:id="3"/>
      </w:r>
      <w:r>
        <w:rPr>
          <w:rtl w:val="0"/>
          <w:lang w:val="fa-IR"/>
        </w:rPr>
        <w:t xml:space="preserve"> آن موقع مردم نور را كجا دیدند؟! آنجایى كه داشت حرف مى‏زد، نور به كجاى امیرالمؤمنین علیه‌السّلام خورده بود؟! یا وقتى که پیغمبر صلّی الله علیه و آله و سلّم به عباس گفتند: وقتى از خانه‏ات خارج شدی آن پول‌ها را به زنت داده‌ای و به او گفتى كه اگر نیامدم فلان بكن!</w:t>
      </w:r>
      <w:r>
        <w:rPr>
          <w:rStyle w:val="FootnoteReference"/>
        </w:rPr>
        <w:footnoteReference w:id="4"/>
      </w:r>
      <w:r>
        <w:rPr>
          <w:rtl w:val="0"/>
          <w:lang w:val="fa-IR"/>
        </w:rPr>
        <w:t xml:space="preserve"> یااینكه امام صادق علیه‌السّلام به شخص رو كردند و گفتند که در سفر فلان كار را کردی! امام رضا گفتند و امثال‌ذلک...، آن نور كجا بود كه می‌گویی آنها مى‏روند در نور مى‏نشینند و وقتى در نور نشستند، آن نور ماوراء بنفش و نور مادون قرمز و از این چیزها به آنها می‌خورد؟!</w:t>
      </w:r>
    </w:p>
    <w:p>
      <w:pPr>
        <w:pStyle w:val="Heading6"/>
      </w:pPr>
      <w:r>
        <w:rPr>
          <w:rtl w:val="0"/>
          <w:lang w:val="fa-IR"/>
        </w:rPr>
        <w:t xml:space="preserve">نور ائمه و اولیا خدا، نور ربط نفس با ملكوت</w:t>
      </w:r>
    </w:p>
    <w:p>
      <w:pPr/>
      <w:r>
        <w:rPr>
          <w:rtl w:val="0"/>
          <w:lang w:val="fa-IR"/>
        </w:rPr>
        <w:t xml:space="preserve">چرا قضیه این‌طور است؟! مى‏دانید چرا؟! چون آقا فلسفه نخوانده است! عرفان نخوانده است! بر این حقیقت نوریه كه نورى از عرش به او مى‏خورد و او در آن نور قرار مى‏گیرد پى نبرده است كه این نور برای همۀ اولیاء است نه‌اینکه فقط اختصاص به حضرت و [آن] زمان دارد. آن نور، نور ربط نفس با ملكوت او است. آن نور، نور حقیقت تعلّقیۀ خودش با مقام علم پروردگار است. این معنا هست نه‌اینکه این نور مثل سقف حمام‏هاى قدیم باشد که از آن بالا بیاید یعنى شما نگاه كنید ببینید این‌طور نیست که طرف درس نخوانده است، خوانده است ولى آن چیزی که باید به‌درد او بخورد را نخوانده است. این همان شخص است كه وقتی در عراق بود فلسفه و عرفان را مسخره مى‏كرد. خب تو که داری مسخره می‌کنی، بفرما [می‌توانی] این‌طوری معنا مى‏كنى؟! تو كه فلسفه و عرفان را مسخره مى‏كنى آخر عمرت‏ را هم ببین كه بعد از نود سال اگر این را به تو بگویند که پس اِخبار از غیبى كه ائمه مى‏دادند، این نور كجا بود؟! یا این نور فقط برای امام زمان علیه‌السّلام است؟! آن خبر از غیبى كه در آیۀ قرآن داریم كه ﴿</w:t>
      </w:r>
      <w:r>
        <w:rPr>
          <w:rtl w:val="0"/>
          <w:lang w:val="fa-IR"/>
        </w:rPr>
        <w:t xml:space="preserve">وَمَا تَدَّخِرُونَ فِي بُيُوتِكُمۡ﴾</w:t>
      </w:r>
      <w:r>
        <w:rPr>
          <w:rStyle w:val="FootnoteReference"/>
        </w:rPr>
        <w:footnoteReference w:id="5"/>
      </w:r>
      <w:r>
        <w:rPr>
          <w:rtl w:val="0"/>
          <w:lang w:val="fa-IR"/>
        </w:rPr>
        <w:t xml:space="preserve"> كه حضرت عیسى از آنها خبر مى‏دهد كه در خانه چه مخفی كردند و چه گذاشتند، حضرت عیسى هم از آسمان به او نور مى‏خورد؟! داخل نور راه مى‏رفت؟! بله؟!</w:t>
      </w:r>
    </w:p>
    <w:p>
      <w:pPr>
        <w:pStyle w:val="Heading6"/>
      </w:pPr>
      <w:r>
        <w:rPr>
          <w:rtl w:val="0"/>
          <w:lang w:val="fa-IR"/>
        </w:rPr>
        <w:t xml:space="preserve">علت ادراک نادرست مقام ائمه</w:t>
      </w:r>
    </w:p>
    <w:p>
      <w:pPr/>
      <w:r>
        <w:rPr>
          <w:rtl w:val="0"/>
          <w:lang w:val="fa-IR"/>
        </w:rPr>
        <w:t xml:space="preserve">همۀ اینها به‌خاطر این است كه نخوانده‏اند و نفهمیده‌اند كه در كشف مراتب تجرد براى نفس انسان، آن حقیقت علمیۀ بالصرافه و اطلاق آن براى شخص منكشف مى‏شود، به مقدارى كه او سعه دارد و به مقدارى كه وسعت دارد. ما مرتبه‏اى را طى نكردیم و آن حقایق علمى براى ما منکشف نیست، مى‏خواهیم آنچه را هم كه براى اولیاء پیدا مى‏شود با همان ادراك مادى خود بسنجیم، ما نمى‏فهمیم علم چیست! نمى‏فهمیم حقیقت علم چیست! مى‏گوییم که حتماً خدا یك كارى مى‏كند و یک معجزه‏اى مى‏كند، یك نورى از آن بالا مى‏آید و او هم مى‏رود آنجا مى‏نشیند و عكس واقعیت با آن ذرات نور و فوتون‌های نور یكى‏یكی مى‏آید و... مثل دستگاه‌های عكس‏بردارى رادیوگرافى و رادیولوژى که پرتو اشعه مى‏اندازند و این گاما آن چیزها را برمى‏دارد، او هم یك هم‌چنین چیزى است! منتها اشعۀ گاما و اینها نیست چون آنها سرطان‏زا است خدا هم نمى‏خواهد امام زمان سرطان بگیرد، لذا یك نور دیگر می‌آورد كه همان كار گاما را مى‏كند و آن صور واقعى را مى‏آورد و آنها را به حضرت ارائه مى‏دهد!</w:t>
      </w:r>
    </w:p>
    <w:p>
      <w:pPr/>
      <w:r>
        <w:rPr>
          <w:rtl w:val="0"/>
          <w:lang w:val="fa-IR"/>
        </w:rPr>
        <w:t xml:space="preserve">خب نتیجۀ صحبت همین است و نتیجۀ این مطالب به همین‏جا كشیده مى‏شود، نتیجۀ آن همین مى‏شود كه بنویسیم امام علیه‏السّلام اشتباه مى‏كند و این منافاتى با آن‏ مقام قدس و طهارت ندارد! پس امام هم مثل ما شد و تفاوتى نكرد! ما اشتباه مى‏كنیم او هم اشتباه مى‏كند! چهل جلد كتاب در فقه مى‏نویسیم و در آخر آن مى‏نویسیم که امام با آن مقام قدس و طهارت اینجا اشتباه كرده است! یك قدس و طهارت اضافه مى‏كنیم كه مثلاً حالا تجلیل امام را كرده باشیم! بندۀ خدا هزار جلد كتاب بنویسى به‌اندازۀ همان یك جمله‏ات نمی‌شود! تو قدس و طهارت نمی‌فهمی چیست! طهارت نمى‏فهمى چیست!</w:t>
      </w:r>
    </w:p>
    <w:p>
      <w:pPr>
        <w:pStyle w:val="Heading6"/>
      </w:pPr>
      <w:r>
        <w:rPr>
          <w:rtl w:val="0"/>
          <w:lang w:val="fa-IR"/>
        </w:rPr>
        <w:t xml:space="preserve">لزوم تزكیه و تربیت نفس</w:t>
      </w:r>
    </w:p>
    <w:p>
      <w:pPr/>
      <w:r>
        <w:rPr>
          <w:rtl w:val="0"/>
          <w:lang w:val="fa-IR"/>
        </w:rPr>
        <w:t xml:space="preserve">اگر می‌خواهی قدس و طهارت را بفهمی بلند شو و برو خودت را تزكیه و تربیت كن و از این مطالب عبور كن و از دنیا و هوس‌ها بگذر، آن‌وقت نیاز به نوشتن قدس و طهارت ندارد و نمى‏گویى که امام اشتباه كرده است! نیازى به گفتن این مسئله نیست. علىٰ‌كلّ‏حال این قضیه‏اى است كه دامن انسان را مى‏گیرد و انسان را متوجه مى‏كند كه باید به فكر مسائل دیگر باشد. بله! واقعاً عجیب است! آدم چیزهایى مى‏شنود كه شاخ درمى‏آورد! خیلى چیزهاى عجیب و غریبى می‌گویند. چطور مى‏شود که انسان از نظر معرفت و ادراك در یك هم‌چنین افق‏هایى قرار بگیرد؟!</w:t>
      </w:r>
    </w:p>
    <w:p>
      <w:pPr/>
      <w:r>
        <w:rPr>
          <w:rtl w:val="0"/>
          <w:lang w:val="fa-IR"/>
        </w:rPr>
        <w:t xml:space="preserve">علیٰ‌کلِّ‌حال این حقیقت جنسیه كه الآن براى انسان به‌طور مبهم هست، در وجود خارجى مى‏بینیم که خود آن به یك نوع درآمده است یعنى خود آن بدون فصل، نوع شده است و نیازى به فصل در اینجا ندارد، خود این جنس در اینجا </w:t>
      </w:r>
      <w:r>
        <w:rPr>
          <w:rStyle w:val="Arabi"/>
          <w:rtl w:val="0"/>
          <w:lang w:val="fa-IR"/>
        </w:rPr>
        <w:t xml:space="preserve">جسمٌ مجردٌ جوهرٌ متکممٌ ذو أبعادٍ ثلاثة</w:t>
      </w:r>
      <w:r>
        <w:rPr>
          <w:rtl w:val="0"/>
          <w:lang w:val="fa-IR"/>
        </w:rPr>
        <w:t xml:space="preserve">، خب این جسمیتى كه الآن در اینجا قرار گرفته است می‌تواند ماده براى فرس، حمار، انسان و سمك باشد. جسم در اینجا براى هركدام از اینها مى‏تواند به‌عنوان ماده قرار بگیرد. و اگر این [قابلیت] را نداشت كه نمى‏توانست ماده باشد. اگر جسم در جسمیت خود استقلال نداشت، نمى‏توانست ماده باشد. اگر در خود جسمیت هم احتیاجى به فصل داشت آن‌وقت چطور فصل بعدی‏ مى‏آید و صورت این جسمیت را به صورت خود فصلیت درمى‏آورد درحالى‌كه صورت بعد اضافه مى‏شود؟! تا جسمى نباشد كه صورتى نمى‏تواند بر آن بیاید! بله، در اینکه خود این جسم الآن فى‌حدّنفسه یك جنبۀ استقلالى دارد كه آن را از مجرد مجزا مى‏كند، آن احتیاج به یك صورت فصلیه‏اى دارد تااینكه از مجرد ممتاز بشود ولى وقتى كه از آن مجرد ممتاز شد، حالا جسم شد و قابلیت تنوّع به انواع مختلف را پیدا كرد، حالا این جسمیت که اسم آن را جهت استعدادى براى آن صورت مى‏گذاریم، آیا در خود نیازى به صورت دارد یا ندارد؟ دیگر نیاز ندارد. براى تشخّص خارجى خود نیاز به صورت دارد یعنى جسمیت به اضافۀ یك صورت، انسان مى‏شود. همین جسمیت به اضافۀ یك صورت، حجر مى‏شود.</w:t>
      </w:r>
    </w:p>
    <w:p>
      <w:pPr/>
      <w:r>
        <w:rPr>
          <w:rtl w:val="0"/>
          <w:lang w:val="fa-IR"/>
        </w:rPr>
        <w:t xml:space="preserve">پس این صورت حجریت نیامده این را جسم كند بلکه او را حجر كرده است. </w:t>
      </w:r>
      <w:r>
        <w:rPr>
          <w:rStyle w:val="Arabi"/>
          <w:rtl w:val="0"/>
          <w:lang w:val="fa-IR"/>
        </w:rPr>
        <w:t xml:space="preserve">جسمٌ حجرٌ، جسمٌ لحمٌ، جسمٌ عظمٌ، جسمٌ شعرٌ و وبرٌ، جسمٌ ماءٌ</w:t>
      </w:r>
      <w:r>
        <w:rPr>
          <w:rtl w:val="0"/>
          <w:lang w:val="fa-IR"/>
        </w:rPr>
        <w:t xml:space="preserve"> این مائیت، شجریت، حجریت، لحمیت و عظمیت نیامده به او جسمیت بدهد بلکه جسمیت را به صورتى درآورده است. خب آن جسمیت سر جای خود هست و وقتى جسمیت سر جای خود باشد، دیگر در اینجا احتیاجى به فصل براى آن صورت ندارد، خودش فى‏حدّنفسه قوام دارد و نوع مى‏شود و وقتى نوع شد الآن مى‏تواند براى اینها ماده قرار بگیرد. مادۀ براى سنگ، آب، فرش، خاك، درخت، برگ، نبات و سایر چیزهاى دیگر قرار بگیرد. همۀ اینها به‌خاطر این است كه آنچه را كه در ذهن به صورت یك حقیقت مبهمه جنس مى‏دانستیم، آن حقیقت مبهمه الآن در خارج دیگر ابهام ندارد. آن دیگر در اینجا جزئى شده است و وقتى جزئى بشود، جسم این صورت و جسم، نوع می‌شود. آن حقیقت مبهمه وقتى در خارج جزئى شد و تشخّص پیدا كرد جسم شد. آن حقیقتِ دیگر كه در ذهن فصل بود وقتى كه‏ در خارج مى‏آید و جزئى و براى دیگران بشرط‌لا مى‏شود او صورت مى‏شود.</w:t>
      </w:r>
    </w:p>
    <w:p>
      <w:pPr/>
      <w:r>
        <w:rPr>
          <w:rtl w:val="0"/>
          <w:lang w:val="fa-IR"/>
        </w:rPr>
        <w:t xml:space="preserve">بنابراین این صورت یك امر متشخص خارجی مى‏شود در این ‌صورت جسمیتى هست كه آن جسمیت یك امر متشخص خارجىِ متدلّى به همین صورت است و آن جسمیت با جسمیت دیگر تفاوت نمى‏كند یعنى از آن جسمیت، یك جنسیتى را انتزاع مى‏كنیم كه جنسیت آن كه جسمیت به‌نحو مطلق است، آن براى صور مختلفه مى‏تواند ماده قرار بگیرد كه دراین‌صورت لابشرط هست. همین جنسیت كه ماده هست و صورت براى این است همین بشرط‌لا مى‏شود، این بشرط‌لائى است كه الآن برای این است، این ماده بشرط‌لائى است كه برای این كتاب است این ماده برای این لیوان، دستگاه، میكروفون، فرش و امثال‌ذلک است این كارى که آن بشرط‌لا بودن می‌کند فقط این هست که حضور دیگران را در وجود خود نفى مى‏كند؛ یعنى وقتى مى‏گوید كه من جسمیت آن را در اینجا لحاظ كردم این باعث مى‏شود كه مادۀ این كتاب دیگر ماده براى كتاب دیگر قرار نگیرد، ماده براى او قرار نگیرد، ماده براى این قرار نگیرد و فقط مادۀ مخصوص همین كتاب باشد. این در اینجا بشرط‌لا مى‏شود یعنى این مادۀ بشرط‌لا در پذیرش این صورت منحصر است و این ماده‏اى كه الآن در اینجا هست، قابلیت براى پذیرش این صورت را ندارد زیرا این ماده، مادۀ بشرط‌لائى است كه در یك وجود جزئى متشخّص متعیّن لحاظ شده است. این ماده را با این ماده در كنار هم بگذاریم، آن‌وقت جسمیت مطلقه را از این دو ماده انتزاع مى‏كنیم. آن جسمیت مطلقه دیگر مى‏تواند ماده براى همۀ اشیاء قرار بگیرد و مى‏تواند به‌عنوان جنس براى همۀ اشیاء قرار بگیرد.</w:t>
      </w:r>
    </w:p>
    <w:p>
      <w:pPr/>
      <w:r>
        <w:rPr>
          <w:rtl w:val="0"/>
          <w:lang w:val="fa-IR"/>
        </w:rPr>
        <w:t xml:space="preserve">بنابراین اینكه در اینجا جنس را در ذهن به‌عنوان یك ماهیت مبهمه قرار دادیم كه بدون فصل مى‏تواند قوام پیدا كند، در خارج این‌طور نیست. در خارج این جنس مبهمۀ ذهنى ما به‌صورت نوع تعیّن دارد؛ تعیّن ذاتى خود را دارد. منتها صورتى كه بر او از خارج عارض مى‏شود آن جسمیت را به صورتى برمى‏گرداند. لذا دلیل بر این مطلب چیست؟!</w:t>
      </w:r>
    </w:p>
    <w:p>
      <w:pPr/>
      <w:r>
        <w:rPr>
          <w:rtl w:val="0"/>
          <w:lang w:val="fa-IR"/>
        </w:rPr>
        <w:t xml:space="preserve">خود ما از نظر عرفى این مطلب را هم مى‏فهمیم یعنى اگر آمدید یك چیزى را در ترازو گذاشتید مى‏بینید ترازو پایین رفت حالا در آن ترازو پنیر، كره، ماست، كتاب و سنگ بگذارید پایین مى‏رود و فرقی ندارد. پنیر پایین رفته است یا جسم پایین رفته است؟! كدام‌یك از این دو باعث شده كه ترازو پایین برود؟! اگر پنیر بودن باعث شده است که ترازو پایین برود پس اگر سنگ بگذارید نباید پایین برود! چون فرض بر این است كه پنیر بودن در پایین رفتن این ترازو دخالت دارد. اگر پنیر بودن در پایین رفتن این ترازو دخالت دارد، دیگر نمى‏شود سنگ دخالت داشته باشد! اگر بگویید: نه، پنیر بودن دخالت ندارد بلکه یك چیز دیگرى در اینجا هست كه او باعث شده است ترازو پایین برود، آن همان جسمیت است!</w:t>
      </w:r>
    </w:p>
    <w:p>
      <w:pPr/>
      <w:r>
        <w:rPr>
          <w:rtl w:val="0"/>
          <w:lang w:val="fa-IR"/>
        </w:rPr>
        <w:t xml:space="preserve">پس جسم در اینجا فى‌حدّنفسه قوامى دارد و فى‌حدّنفسه یك حقیقتى دارد گرچه وقتى نگاه مى‏كنیم مى‏بینیم این پنیر با این سنگ فرق مى‏كند. حتى تكه‌تكه‌اش هم بكنیم مى‏بینیم که فرق مى‏كند. روى دستمان آن را لِه هم بكنیم فرق مى‏كند. همه‏طور فرق مى‏كند ولى این صورت پنیریت فقط به این، صورت داده است و جسمیت را به این نبخشیده است. جسم، جسمیت خود را از جاى دیگرى آورده است، صورت پنیریت را از جاى دیگرى آورده است. لذا همین شیر را که جسم است قبل از اینكه تبدیل به پنیر شود، این شیر را مى‏گیرید بعد با یك كارهایى كه در آن مى‏كنید این را به پنیر تبدیل مى‏كنید، پس آن جسمیت را با یك‏ صورت دیگر دارد و ما صورت دیگرى را به او اضافه خواهیم كرد. پس این جسم در جسمیت خود كه براى انواع متعدده جنبۀ جنسى دارد، به این صورت پنیرى نیاز ندارد بلکه آن جسم، جسم است و براى تبدیل شدن آن مسئلۀ دیگر است.</w:t>
      </w:r>
    </w:p>
    <w:p>
      <w:pPr/>
      <w:r>
        <w:rPr>
          <w:rtl w:val="0"/>
          <w:lang w:val="fa-IR"/>
        </w:rPr>
        <w:t xml:space="preserve">با این حرف‌هاى هفتصد سال پیش آبرویى براى ما نمانده است و به ما مى‏خندند. از یك آقایی ـ تازه اینها درس‏خوانده‌ها هستند ـ سؤال كرد که آقا این ائمه كه روایات و احادیث و احكام را مى‏گویند، از كجا مى‏آورند می‌گویند؟! مگر به آنها وحى مى‏شود؟! مگر نمى‏گویید كه با رسالت پیغمبر صلّی الله علیه و آله و سلّم مسئلۀ خاتمیت محقق شد، پس این ائمه چه‌کار مى‏كنند؟! در مورد پیغمبر خب جبرئیل وحى مى‏آورد، مگر بر ائمه هم جبرئیل نازل مى‏شود؟! ائمه این احكام را از كجا مى‏آورند و مى‏گویند؟! احكامی كه در زمان رسول خدا نبود، حدیث و سنت آن مسئله نبود، از كجا مى‏گویند؟! آقا در جواب مى‏فرمایند كه ائمه بعضى‏ از اینها را دهان به دهان از پدران شنیده‌اند! مثلاً امیرالمؤمنین نشسته است براى امام حسن جلسۀ درس گذاشته است كه یا حسن بنشین مى‏خواهم برای تو احكام حیض و نفاس بگویم! احكامى را كه خودم از پیغمبر شنیده‌ام مى‏خواهم حالا آن احكام طهارت و استقبال و اینها را بگویم! حضرت هم مى‏نشست و بعد هم براى اینكه یادشان نرود حتماً یك كاغذ مى‏آورد و ـ كاغذ كه آن موقع نبود پوست جمع مى‌کردند! ـ مى‏نوشت و امام بعدى هم از امام قبلى این احكام را مى‏شنید و این را هم بیان مى‏كرد. این یك قسم است.</w:t>
      </w:r>
    </w:p>
    <w:p>
      <w:pPr/>
      <w:r>
        <w:rPr>
          <w:rtl w:val="0"/>
          <w:lang w:val="fa-IR"/>
        </w:rPr>
        <w:t xml:space="preserve">قسم دوم این است كه اینها یك احكام نوشته شده‏اى را داشتند كه هر امامى آن احكام را به‌عنوان دائرةالمعارف یا كتاب حدیث تحویل امام بعدى مى‏داد و اینها به‌خاطر همین اطلاع بر احكام داشتند.</w:t>
      </w:r>
    </w:p>
    <w:p>
      <w:pPr/>
      <w:r>
        <w:rPr>
          <w:rtl w:val="0"/>
          <w:lang w:val="fa-IR"/>
        </w:rPr>
        <w:t xml:space="preserve">قسم سوم هم این است كه در بعضى از موارد خدا اراده مى‏كرد و این احكام را در ذهن‏ آنها مى‏انداخت؛ آنها توسل مى‏كردند و از خدا طلب مى‏كردند و خدا هم به ذهن اینها مى‏انداخت!</w:t>
      </w:r>
    </w:p>
    <w:p>
      <w:pPr/>
      <w:r>
        <w:rPr>
          <w:rtl w:val="0"/>
          <w:lang w:val="fa-IR"/>
        </w:rPr>
        <w:t xml:space="preserve">تو را به خدا ببینید در عصر امروز و در وضعیت امروز این طرز جواب دادن است؟! یعنى شما امام را این‌طوری معرفى مى‏كنی؟! خدا خیرت بدهد! این امام شد؟! یعنى امام صادق مى‏رفت آن کتاب‌ها را باز مى‏كرد و جواب می‌داد؟! وقتى كه محمد بن مسلم و زراره و أبى بصیر مى‏آمدند، حضرت مى‏گفت: یك مقدار صبر كنید و در آن اتاق پشتى و پستو مى‏رفت و درِ آن را هم قفل می‌کرد که یك وقتى كسى نرود، بچه‏اى نرود كه اینها را پاره كند و جواب را پیدا می‌کرد! چون وقتى كه در نجف بودیم [ما هم در کودکی] به كتاب‌هاى مرحوم آقا حاشیه مى‏زدیم! الآن كتاب‌هایی كه ایشان دارند حاشیه‏هاى ما دور صفحات آن هست! ایشان مى‏گفتند: بعضى حاشیه‏ها را كه مى‏زدى به حاشیه اكتفا نمى‏كردی و شروع مى‏كردى از اول پاره کردن! از اول تا آخر كتاب را مى‏خواندى و حاشیه‏ها را قشنگ می‌کشیدی و مى‏گفتى: این را كه خوانیدم و دیگر فایده ندارد بعد صفحۀ اول را پاره می‌کردی بعد دوم و... تا یكى برسد و از تو بگیرد! الآن در بعضى از كتاب‌هاى ایشان، حواشى ما هم هست!</w:t>
      </w:r>
    </w:p>
    <w:p>
      <w:pPr/>
      <w:r>
        <w:rPr>
          <w:rtl w:val="0"/>
          <w:lang w:val="fa-IR"/>
        </w:rPr>
        <w:t xml:space="preserve">خلاصه برای اینکه یك وقت بچه سراغ این کتاب نرود، حضرت در اتاق را قفل مى‏كرد كه این زحماتى كه رسول الله و امیرالمؤمنین كشیده‌اند و همین‌طور </w:t>
      </w:r>
      <w:r>
        <w:rPr>
          <w:rStyle w:val="Arabi"/>
          <w:rtl w:val="0"/>
          <w:lang w:val="fa-IR"/>
        </w:rPr>
        <w:t xml:space="preserve">یداً بیدٍ</w:t>
      </w:r>
      <w:r>
        <w:rPr>
          <w:rtl w:val="0"/>
          <w:lang w:val="fa-IR"/>
        </w:rPr>
        <w:t xml:space="preserve"> این اوراق و صفحات رسیده، ازبین نرود! این خیلى باعث تأسف است! فقط باید گفت که خیلى باعث تأسف است كه واقعاً چقدر دست ما خالى است!</w:t>
      </w:r>
    </w:p>
    <w:p>
      <w:pPr/>
      <w:r>
        <w:rPr>
          <w:rtl w:val="0"/>
          <w:lang w:val="fa-IR"/>
        </w:rPr>
        <w:t xml:space="preserve">حاج هادى ابهرى بى‏سوادى كه امضاء بلد نبود و در جیبش مهر داشت و مُهر مى‏زد، مبلغ اسكناس را از روى رنگ آن مى‏فهمید، اسکناس پنج تومانى و دو تومانى یك تومانى هم آن‌وقت بود که از روى رنگ آنها مى‏فهمید، مراجع آن موقع وقتى كه در بعضى موارد گیر مى‏كردند از او حكم شرعى سؤال مى‏كردند! مرحوم آیةالله میلانى وقتى در یك مسئله گیر مى‏كرد مى‏گفت: حاجى نفس شما به كدام طرف کشیده می‌شود؟! مى‏گفت: نور من می‌گوید که طرف درست این است، و به او عمل مى‏كرد! اینها الآن مى‏گویند: بله، امام علیه‏السّلام با آن مقام ‏طهارت و قدس مى‏رفت كاغذها را این‌طرف و آن‌طرف مى‏كرد كه ببینید بین آنها حكمى از طرف پیغمبر </w:t>
      </w:r>
      <w:r>
        <w:rPr>
          <w:rStyle w:val="Arabi"/>
          <w:rtl w:val="0"/>
          <w:lang w:val="fa-IR"/>
        </w:rPr>
        <w:t xml:space="preserve">لساناً بِلسان و یداً بیدٍ</w:t>
      </w:r>
      <w:r>
        <w:rPr>
          <w:rtl w:val="0"/>
          <w:lang w:val="fa-IR"/>
        </w:rPr>
        <w:t xml:space="preserve"> آمده یا نیامده است! اگر نبود مى‏گفت: خدایا من كه داخل این چیزى پیدا نكردم، امامت به خطر افتاده است و من چیزى پیدا نكرده‌ام و وقتى امامت به خطر بیفتد، خدا هم یك كارى مى‏كند!</w:t>
      </w:r>
    </w:p>
    <w:p>
      <w:pPr/>
      <w:r>
        <w:rPr>
          <w:rtl w:val="0"/>
          <w:lang w:val="fa-IR"/>
        </w:rPr>
        <w:t xml:space="preserve">آن بچۀ نه‌ساله‌ای كه به امامت رسید، امام هادى كه در نه‌سالگی یا به قولى یازده‌سالگی به امامت رسید ـ حتی امامت امام جواد زودتر بود ـ حاج آقا بفرمایید که ایشان كدام ورق‏ها را رفته بود نگاه كرده بود؟! در كدام اتاق رفته بود؟! وقتى كه امام جواد در آن مجلس مى‏آید و عموی ایشان مى‏آید آن چرت‌وپرت‏ها را مى‏گوید و فلان، مى‏گوید: </w:t>
      </w:r>
      <w:r>
        <w:rPr>
          <w:rStyle w:val="Arabi"/>
          <w:rtl w:val="0"/>
          <w:lang w:val="fa-IR"/>
        </w:rPr>
        <w:t xml:space="preserve">«</w:t>
      </w:r>
      <w:r>
        <w:rPr>
          <w:rStyle w:val="RevayatArabi"/>
          <w:rtl w:val="0"/>
          <w:lang w:val="fa-IR"/>
        </w:rPr>
        <w:t xml:space="preserve">یا عَمِّ إنَّهُ عظیمٌ عِندَ اللهِ أن تَقِفَ غَداً بینَ یَدیهِ فَیقولَ لَکَ لِمَ تُفتِى عِبادِى بِما لَم تَعلم وَ فِى الأُمَّةِ مَن هُوَ أعلَمُ مِنکَ</w:t>
      </w:r>
      <w:r>
        <w:rPr>
          <w:rStyle w:val="Arabi"/>
          <w:rtl w:val="0"/>
          <w:lang w:val="fa-IR"/>
        </w:rPr>
        <w:t xml:space="preserve">»</w:t>
      </w:r>
      <w:r>
        <w:rPr>
          <w:rStyle w:val="FootnoteReference"/>
        </w:rPr>
        <w:footnoteReference w:id="6"/>
      </w:r>
      <w:r>
        <w:rPr>
          <w:rtl w:val="0"/>
          <w:lang w:val="fa-IR"/>
        </w:rPr>
        <w:t xml:space="preserve"> وقتى این حرف را مى‏زند، تمام بدنش شروع مى‏كند به لرزیدن و بعد تمام افرادى كه در آن مجلس بودند هر سؤالى كه داشتند آوردند و حضرت همه را در آنجا جواب داد، حضرت كدام اوراق و صفحات را دیده بود؟! چه زمانی امام رضا، امام جواد را آورده بود و به او تعلیم داده بود؟! مأمون که امام رضا را جلب كرده بود! امام رضا كه ننشسته بود به پسر خود درس احكام بدهد!</w:t>
      </w:r>
    </w:p>
    <w:p>
      <w:pPr/>
      <w:r>
        <w:rPr>
          <w:rtl w:val="0"/>
          <w:lang w:val="fa-IR"/>
        </w:rPr>
        <w:t xml:space="preserve">یعنى باور كنید اینها این روایات را دروغ مى‏دانند! باور كنید! من با اینها بودم، مى‏گویند: ما نمى‏دانیم! چطور مى‏شود یك بچۀ نه‌ساله اینها را بداند؟! در همین قضیۀ امام زمان؛ امام زمان که روى دست همۀ آنها را زد! اگر امام هادی نه‌ساله بود امام زمان كه پنج سالش بود! امام زمان ما آمد كارى كرد كه هیچ‌كس نكرد؛ یعنى امام زمان مسئولیتِ تشریع تمام افراد را ـ حالا به مسئولیت تكوینى و ولایى عقلمان نمى‏رسد ـ در پنج سالگى عهده‏دار شد. چطور؟! كدام كاغذ را خوانده بود؟! او كه تا دیروز وقتى افرادی از این‌طرف و آن‌طرف مى‏آمدند حضرت در بغل امام حسن عسگری علیه‌السّلام اجازه نمی‌داد او نامه‏ها را بخواند، حضرت یك توپ مى‏انداخت كه او دنبال توپ برود، بعد حضرت شروع مى‏كرد نامه‏ها را خواندن! اینكه تا دیروز این‌طور بود و تكلیف او این‌طوری بود. كدام كلاس را برای او گذاشته بود؟! كدام نامه را خوانده بود؟! كدام اوراق را برداشته بود نگاه كرده بود؟! همین امام زمان پنج‏ساله، امام زمانى كه هفتاد و پنج سال زمان غیبت صغرای ایشان طول كشید و تمام جواب نامه‏ها را آن‌طور مى‏داد كه خیلى برنامۀ مفصلى داشت كه آن نواب اربعه نامه مى‏نوشتند و زیر تشك خود یا زیر سجادۀ خود مى‏گذاشتند بعد صبح كه مى‏آمد نامه را از زیر آن سجاده بردارد، حضرت جواب نامه را در آن نوشته بود. اینها در چه عالمى هستند؟! چطورى به این مسائل فكر مى‏كنند و به مسئله نگاه مى‏كنند؟! چطورى اصلاً به این قضایا نگاه مى‏كنند؟! بله، در هر زمانى از این امام‏ها زیاد هستند! خیلى مى‏توان تصور كرد! در هر زمانى مى‏شود فرض كرد، حسین‏هاى زمان، على‏هاى زمان، این‌طوری اشكال ندارد و مطلبى نیست! قضیه خیلى به جایى برنمى‏خورد!</w:t>
      </w:r>
    </w:p>
    <w:p>
      <w:pPr/>
      <w:r>
        <w:rPr>
          <w:rtl w:val="0"/>
          <w:lang w:val="fa-IR"/>
        </w:rPr>
        <w:t xml:space="preserve">در یك مجلسى بودیم یك نفر مى‏خواست بگوید كه مثلاً فلان شخص در مقام تشبیه به امام زمان، قابل تشبیه نیستند این‌طور مثال مى‏آورد كه ایشان كجا و امام زمان كجا؟! ایشان ناخن امام زمان هم نمى‏شود! ناخن امام زمان هم نمى‏شود! حالا آن بندۀ خدا به میزان آن سعۀ خود خواسته بود كه این قضیه را این‌طور بیان كند!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23.</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اسلام و مقتضیات زمان</w:t>
      </w:r>
      <w:r>
        <w:rPr>
          <w:rtl w:val="0"/>
          <w:lang w:val="fa-IR"/>
        </w:rPr>
        <w:t xml:space="preserve">، ج 1، ص 104.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۱۳۳.</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الطبقات الكبرى</w:t>
      </w:r>
      <w:r>
        <w:rPr>
          <w:rtl w:val="0"/>
          <w:lang w:val="fa-IR"/>
        </w:rPr>
        <w:t xml:space="preserve">، ج 4، ص 15.</w:t>
      </w:r>
    </w:p>
  </w:footnote>
  <w:footnote w:id="5">
    <w:p>
      <w:pPr>
        <w:pStyle w:val="FootnoteText"/>
      </w:pPr>
      <w:r>
        <w:rPr>
          <w:rtl w:val="0"/>
          <w:lang w:val="fa-IR"/>
        </w:rPr>
        <w:footnoteRef/>
      </w:r>
      <w:r>
        <w:rPr>
          <w:rtl w:val="0"/>
          <w:lang w:val="fa-IR"/>
        </w:rPr>
        <w:t xml:space="preserve">. سوره آل عمران (3) آیه 49. </w:t>
      </w:r>
      <w:r>
        <w:rPr>
          <w:rtl w:val="0"/>
          <w:lang w:val="fa-IR"/>
        </w:rPr>
        <w:t xml:space="preserve">امام شناسى</w:t>
      </w:r>
      <w:r>
        <w:rPr>
          <w:rtl w:val="0"/>
          <w:lang w:val="fa-IR"/>
        </w:rPr>
        <w:t xml:space="preserve">، ج‏ 1، ص 145:</w:t>
      </w:r>
    </w:p>
    <w:p>
      <w:pPr>
        <w:pStyle w:val="FootnoteText"/>
      </w:pPr>
      <w:r>
        <w:rPr>
          <w:rtl w:val="0"/>
          <w:lang w:val="fa-IR"/>
        </w:rPr>
        <w:t xml:space="preserve">«و آنچه در خانه‏هاى خود ذخیره نموده‏اید به‏شما خبر مى‏دهم.»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عیون المعجزات</w:t>
      </w:r>
      <w:r>
        <w:rPr>
          <w:rtl w:val="0"/>
          <w:lang w:val="fa-IR"/>
        </w:rPr>
        <w:t xml:space="preserve">، ج ۱، ص ۱۱۹.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