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چهارم</w:t>
      </w:r>
    </w:p>
    <w:p>
      <w:pPr>
        <w:pStyle w:val="Heading5"/>
      </w:pPr>
      <w:r>
        <w:rPr>
          <w:rtl w:val="0"/>
          <w:lang w:val="fa-IR"/>
        </w:rPr>
        <w:t xml:space="preserve">تأثیر نفس ملكوتى افلاك بر عالم ماده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اشکال مرحوم آخوند بر صاحب مباحث مشرقیه</w:t>
      </w:r>
    </w:p>
    <w:p>
      <w:pPr/>
      <w:r>
        <w:rPr>
          <w:rtl w:val="0"/>
          <w:lang w:val="fa-IR"/>
        </w:rPr>
        <w:t xml:space="preserve">بحث در علیت فصل براى جنس بود که عرض شد طبق تعریفى كه مرحوم آخوند در مسئلۀ فصل و جنس داشتند مشاهده كردیم كه خود جنس یك حقیقت خارجى مستقل نیست. بر این ‌اساس ایشان اشكالى که به صاحب مباحث مشرقیه وارد مى‏كنند، از برداشت ایشان نسبت به محلیّت و جرمیت افلاك ناشى مى‏شود كه در آنجا قائل به جزء ما لایتجزىٰ و محلّ براى هیولا [شدند] كه آن هیولا آن محل را به صورت جرمیت نسبت به افلاك درمى‏آورد.</w:t>
      </w:r>
    </w:p>
    <w:p>
      <w:pPr/>
      <w:r>
        <w:rPr>
          <w:rtl w:val="0"/>
          <w:lang w:val="fa-IR"/>
        </w:rPr>
        <w:t xml:space="preserve">ایشان نسبت به این قضیه ایراد دارند و مى‏فرمایند که خود جسمیت فى‌حد‌ّنفسه بدون اینكه نوعى آن جسمیت را به كیفیت و نوع خاص دربیاورد، نمى‏تواند تحصل داشته باشد و تحصل جسمیت به تحصل فصل است. بنابراین چطور ایشان با توجه به این مسئله که فصلیت است که مى‏تواند جنس را قوام خارجى ببخشد، قائل به محلِّ متقوّم به ذات قبل از تعلق فصل به آن محل شدند؟! این اشكالى هست كه‏ ایشان كردند و با این مسئله مطلب تمام مى‏شود و دیگر خیال مى‏كنم تا آنجایى كه [نیاز] بود صحبتش بیان شده بود.</w:t>
      </w:r>
    </w:p>
    <w:p>
      <w:pPr>
        <w:pStyle w:val="NaghlegholMatn"/>
      </w:pPr>
      <w:r>
        <w:rPr>
          <w:rStyle w:val="Arabi"/>
          <w:rtl w:val="0"/>
          <w:lang w:val="fa-IR"/>
        </w:rPr>
        <w:t xml:space="preserve">و العجبُ مِن صاحبِ المباحثِ المشرقیةِ معَ تَفطُّنِه بِهذا الأصلِ حیثُ ذَهَلَ عنه‌ حینَ أقامَ حجةً على إثباتِ الهیولىٰ و قد أُهملَ فی إعمالِهِ و أعجبُ مِن ذلك أنّهُ قالَ بعدَ ذكرِ تلكَ الحُجَّةِ و قد أورَدتها على كثیرٍ مِنَ الأذكیاء فَما قَدحوا فی شی‌ءٍ مِن مقدماتِهِ و خلاصةُ حجتِهِ المذكورةِ فی إثباتِ الهیولى</w:t>
      </w:r>
      <w:r>
        <w:rPr>
          <w:rtl w:val="0"/>
          <w:lang w:val="fa-IR"/>
        </w:rPr>
        <w:t xml:space="preserve"> </w:t>
      </w:r>
      <w:r>
        <w:rPr>
          <w:rStyle w:val="Arabi"/>
          <w:rtl w:val="0"/>
          <w:lang w:val="fa-IR"/>
        </w:rPr>
        <w:t xml:space="preserve">لِجسمیةِ الفلكِ أنَّ جسمیةَ الفَلَكِ یلزمُها مقدارٌ مَعیّنٌ و شكلٌ معیّنٌ لِعدمِ قبولِها الكونِ و الفَساد و سببُ اللزومِ إمّا نفسُ الجسمیةِ أو أمرٌ حالٌ فیها أو مباینٌ لها لكنَّ الأوَّلَ باطلٌ و إلاّ لَزِمَ اشتراكُ الأجسامِ معَها فی المقدارِ و الشكلِ المعیّن.</w:t>
      </w:r>
      <w:r>
        <w:rPr>
          <w:rStyle w:val="FootnoteReference"/>
        </w:rPr>
        <w:footnoteReference w:id="1"/>
      </w:r>
    </w:p>
    <w:p>
      <w:pPr/>
      <w:r>
        <w:rPr>
          <w:rtl w:val="0"/>
          <w:lang w:val="fa-IR"/>
        </w:rPr>
        <w:t xml:space="preserve">صاحب مباحث مشرقیه بااینكه توجه به این اصل داشتند كه تعیّن آن هیولا و آن جنس به‌واسطۀ خود فصلیت است و بدون آن واسطه خود هیولا یا آن جنس نمى‏تواند تحصل داشته باشد، این مسئله از ایشان مغفول واقع شد.</w:t>
      </w:r>
    </w:p>
    <w:p>
      <w:pPr/>
      <w:r>
        <w:rPr>
          <w:rtl w:val="0"/>
          <w:lang w:val="fa-IR"/>
        </w:rPr>
        <w:t xml:space="preserve">ایشان اقامۀ حجت بر اثبات هیولا كردند، اثبات تعیّن و تحصل هیولا در اینجا منظور است درحالى‌كه ایشان در اعمال دادن این هیولا قائل به اهمال شدند یااینكه خود هیولا در اعمالش مهمل است. از این مسئله عجیب‏تر این است که بعد از اینكه ایشان این حجت را اقامه كردند ـ حالا حجت را خودش مى‏آید مى‏گوید ـ مى‏فرمایند که اینها در هیچ‌كدام از مقدمات اثبات هیولا نسبت به اجرام [آن را] قطع نكردند و پذیرفتند. [حجتی که] ایشان در اثبات هیولا براى جسمیت فلك ذكر كردند این است كه در خود جسمیت فلك، اگر ما فلك را جسم بدانیم بنابراین این فلك باید داراى كم و كیف باشد و مقدار آن‌هم مشخص باشد چون مقدار جرم مشخص است و داراى شكل هم باید باشد چون جرم داراى حجم تعلیمى است كه هر حجم تعلیمى مترتب بر حجم طبیعى است؛ زیرا این جسمیت فلك نمى‏تواند كون و فساد را قبول بكند چون امر ثابتى است كه خود موجب ظهورات متفاوت و مختلف است و باید خود آن هیولا داراى هویت ثابته باشد زیرا اگر قرار باشد هویت هیولا تغییر پیدا بكند بنابراین دیگر هیولا نیست. پس در فساد چه چیزى مى‏خواهد جایگزین آن صورت‏ اولیّه براى هیولا بشود؟! وقتى كه شكل و کمّ این كتاب در حال تغییر و تبدّل است، خود اصل كتاب باید ثابت باشد حالا اگر در یک‌ طرفةالعینى در كتاب فساد عارض بشود، دیگر چیزى باقى نمى‏ماند لذا در اثبات هیولا مى‏فرمایند كه هیولا اثبات كون و فساد نمى‏كند بلكه او ظرف و محل براى كون و فسادى است كه بر صورت و شكل و ظهور خارجى او عارض مى‏شود.</w:t>
      </w:r>
    </w:p>
    <w:p>
      <w:pPr/>
      <w:r>
        <w:rPr>
          <w:rtl w:val="0"/>
          <w:lang w:val="fa-IR"/>
        </w:rPr>
        <w:t xml:space="preserve">اینکه در اینجا داریم؛ </w:t>
      </w:r>
      <w:r>
        <w:rPr>
          <w:rStyle w:val="Arabi"/>
          <w:rtl w:val="0"/>
          <w:lang w:val="fa-IR"/>
        </w:rPr>
        <w:t xml:space="preserve">یلزمُها معیّنٌ، مقدارٌ معیّن و شكلٌ معیّن</w:t>
      </w:r>
      <w:r>
        <w:rPr>
          <w:rtl w:val="0"/>
          <w:lang w:val="fa-IR"/>
        </w:rPr>
        <w:t xml:space="preserve"> دلیل لزوم آن چیست؟ یا خود جسمیت مطلقه اقتضاى این مقدار معیّن و شكل معیّن را مى‏كند یا امرى است كه در آن جسمیت حلول مى‏كند و خود آن جسمیت نیست بلکه یك امرى است كه خارج از جسمیت است یا مباین با اوست. اوّلی باطل است كه خود جسمیت باشد؛ چون اگر خود جسمیت در اینجا باشد باید همۀ اجسام با آن هیولا در مقدار و شكل معیّن اشتراك داشته باشند درحالى‌كه مى‏بینیم مقدار و شكل اجسام متفاوت است و خصوصیات هر جسمى با جسم دیگر هم فرق مى‏كند پس این مسئلۀ لزوم به خود جسمیت </w:t>
      </w:r>
      <w:r>
        <w:rPr>
          <w:rStyle w:val="Arabi"/>
          <w:rtl w:val="0"/>
          <w:lang w:val="fa-IR"/>
        </w:rPr>
        <w:t xml:space="preserve">مِن حیثُ هى هى </w:t>
      </w:r>
      <w:r>
        <w:rPr>
          <w:rtl w:val="0"/>
          <w:lang w:val="fa-IR"/>
        </w:rPr>
        <w:t xml:space="preserve">برنمى‏گردد.</w:t>
      </w:r>
    </w:p>
    <w:p>
      <w:pPr>
        <w:pStyle w:val="NaghlegholMatn"/>
      </w:pPr>
      <w:r>
        <w:rPr>
          <w:rStyle w:val="Arabi"/>
          <w:rtl w:val="0"/>
          <w:lang w:val="fa-IR"/>
        </w:rPr>
        <w:t xml:space="preserve">كذا الثانی لأنَّ الكلامَ فی لزومِهِ آتٍ بِعینِه و الثالثُ أیضاً لِتساوی نسبةِ المُباین إلى جمیعِ الأجسامِ فبَقیَ أن یكونَ لزومُ التشكّلِ و التَّقدُّرِ لِجسمیةِ الفلكِ بِواسطةِ محلِّ تلكَ الجسمیةِ و هو المطلوبُ انتهىٰ.</w:t>
      </w:r>
    </w:p>
    <w:p>
      <w:pPr/>
      <w:r>
        <w:rPr>
          <w:rtl w:val="0"/>
          <w:lang w:val="fa-IR"/>
        </w:rPr>
        <w:t xml:space="preserve">اما اینكه یك امر حالّ بر او باشد این‌هم به همین جهت همین‌طور است و برای او هم همین دلیل در اینجا خواهد آمد که اگر به‌واسطۀ امر حالّ باشد بنابراین باید همۀ اجسام بتوانند همان خصوصیت شكل را داشته باشند كه ندارند، که [دلیل این لزومیت] به‌واسطۀ یك امر خارج از او باشد و مباین با او باشد، این‌هم همین‌طور نمى‏شود چون نسبت مباین به همۀ اجسام مساوى است و همۀ اجسام با آن مباین نسبت واحد را دارند پس اگر امر مباین بخواهد باعث مقدار و شكل معیّن بشود، این امر مباین در بقیۀ اجسام هم هست پس چرا شما در آنجا این تعیّن و مقدار و شكل خاص را نمى‏بینید و اختلاف مى‏بینید؟! پس از اینجا نتیجه مى‏گیریم كه به خود جسمیت برمى‏گردد. بنابراین جسمیت باید تعیّن و تحصل داشته باشد. این تشكل و این مقدارى كه براى جسمیت فلك وجود دارد، به‌واسطۀ خود جسمیت فلك است نه به‌واسطۀ امر دیگر و نه به‌واسطۀ امر مباین و نه به‌واسطۀ امر حالّ، بلكه خود جسمیت فلك بخصوصه ... نه جسمیت مطلقه؛ چون در جسمیت مطلقه اشكال پیدا مى‏شود كه باید مقدار همۀ اجسام معیّن باشند. این مغالطه‌اى كه در اینجا شده این است که به این اضافۀ جسمیت مغلطه شده است. شما وقتی كه جسمیتِ فلك مى‏گویید بالأخره آمدید آن جسمیت را از بقیۀ جسمیت‏ها خارج كردید. خب صحبت در تخصص است شما كه مى‏خواهید این جسمیت را مخصَّص كنید پس مخصِّص چه بوده است؟!</w:t>
      </w:r>
    </w:p>
    <w:p>
      <w:pPr/>
      <w:r>
        <w:rPr>
          <w:rtl w:val="0"/>
          <w:lang w:val="fa-IR"/>
        </w:rPr>
        <w:t xml:space="preserve">دیده‌اید بعضى‏ها یك صحبت‏هایى مى‏كنند و بین صحبت‏های خود یك طورى مى‏رود رد مى‏شود، باید آن وسط مچ او گرفته بشود که بایست آقا از اینجا رد بشویم بعد آن‌وقت ادامه بدهید! در جسمیت فلك یک‌دفعه مسئله خراب مى‏شود به‌واسطۀ محلّ این جسمیت است كه فلك بودن است. درنتیجه به اینجا مى‏رسیم كه خود جسمیت فلك آن هیولا براى اجرام سماوى باید داراى تشكّل و مقدار خاص باشد.</w:t>
      </w:r>
    </w:p>
    <w:p>
      <w:pPr/>
      <w:r>
        <w:rPr>
          <w:rtl w:val="0"/>
          <w:lang w:val="fa-IR"/>
        </w:rPr>
        <w:t xml:space="preserve">نقدى كه ایشان بر این دلیل وارد مى‏كنند [این است که] صورتى كه منوعۀ فلك است، خود فلك را نوع مى‏بخشد، اولاً او را از سایر اجرام سماوى جدا مى‏كند و بعد براى هر جرم از اجرام فلك یك تشكل خاصى را به‌وجود مى‏آورد.</w:t>
      </w:r>
    </w:p>
    <w:p>
      <w:pPr>
        <w:pStyle w:val="SoalMatn"/>
      </w:pPr>
      <w:r>
        <w:rPr>
          <w:rtl w:val="0"/>
          <w:lang w:val="fa-IR"/>
        </w:rPr>
        <w:t xml:space="preserve">تلمیذ: </w:t>
      </w:r>
      <w:r>
        <w:rPr>
          <w:rtl w:val="0"/>
          <w:lang w:val="fa-IR"/>
        </w:rPr>
        <w:t xml:space="preserve">فلک مگر واحد نیست؟</w:t>
      </w:r>
    </w:p>
    <w:p>
      <w:pPr/>
      <w:r>
        <w:rPr>
          <w:rtl w:val="0"/>
          <w:lang w:val="fa-IR"/>
        </w:rPr>
        <w:t xml:space="preserve">استاد:</w:t>
      </w:r>
      <w:r>
        <w:rPr>
          <w:rtl w:val="0"/>
          <w:lang w:val="fa-IR"/>
        </w:rPr>
        <w:t xml:space="preserve"> نسبت به سایر اجسام است چون اینها زمین را جداى از افلاك مى‏دانستند. آن را نقطۀ ثابتى مى‏دانستند و بعد سایر افلاك مافوق را داراى یك جوهر دیگرى مى‏دانستند و زمین را داخل در آن افلاك نمی‌دانستند و این براساس [مطالب] قدیم است. البته این چیزهایى هم كه اینها مى‏گویند بى‏حساب نیست؛ یعنى اینها یك حقایقى را متوجه مى‏شدند كه به‌واسطۀ آن حقایق براى خود فلك یك جوهرى غیر از جوهر سایر اجرام مثل موجودات و طبایع معتقد بودند و آن خصوصیت را به همان محلّ خاصّ اینها برمى‏گرداندند. از نظر تأثیرهایی كه اجرام سماوى در این عالم ایجاد مى‏كنند و خصوصیاتى كه به‌واسطۀ اقتران اجرام سماوى در یكدیگر هست و آن نفس كلى مدیر و مدبّر اجرام سماوى، اینها قائل به یك تشكّل خاصى از خلقت براى این فلک بودند كه آن را در سایر چیزها نمى‏دیدند.</w:t>
      </w:r>
    </w:p>
    <w:p>
      <w:pPr>
        <w:pStyle w:val="Heading6"/>
      </w:pPr>
      <w:r>
        <w:rPr>
          <w:rtl w:val="0"/>
          <w:lang w:val="fa-IR"/>
        </w:rPr>
        <w:t xml:space="preserve">اشکال به مرحوم علامه طباطبائی در معنى تشهُّب‏</w:t>
      </w:r>
    </w:p>
    <w:p>
      <w:pPr/>
      <w:r>
        <w:rPr>
          <w:rtl w:val="0"/>
          <w:lang w:val="fa-IR"/>
        </w:rPr>
        <w:t xml:space="preserve">فرض كنید که در یك ستاره یا یك سیاره قائل به این تأثیر بودند و در سیارۀ دیگر قائل نبودند یعنى مى‏خواهم بگویم که یك هم‌چنین تفكرى ریشه دارد و همین‌طوری صبح بلند نشدند تا این مسائل را سرهم كنند بلکه یك مطالبى بوده است و اینها یك اختلافاتى در تأثیر و تأثرات در اجرام مى‏دیدند و یك تغییر و تحولاتى در آنها مشاهده مى‏كردند. در مورد نفس فلكیت در آیات قرآن هم داریم؛ ﴿</w:t>
      </w:r>
      <w:r>
        <w:rPr>
          <w:rtl w:val="0"/>
          <w:lang w:val="fa-IR"/>
        </w:rPr>
        <w:t xml:space="preserve">وَكُلّٞ فِي فَلَكٖ يَسۡبَحُونَ﴾</w:t>
      </w:r>
      <w:r>
        <w:rPr>
          <w:rStyle w:val="FootnoteReference"/>
        </w:rPr>
        <w:footnoteReference w:id="2"/>
      </w:r>
      <w:r>
        <w:rPr>
          <w:rtl w:val="0"/>
          <w:lang w:val="fa-IR"/>
        </w:rPr>
        <w:t xml:space="preserve"> اینها فلك را داراى نفس قاهر و غالب بر اجرام و كرات سماوى مى‏دانستند و در آنجا اتصال نفس انسان را با آن فلك موجب بروز بعضی از حالات مى‏شماردند البته بیهوده نیست و مسائلى از این قبیل هست ولی اینها از کیفیت ربط بین .... غفلت کردند. البته من به یك مناسبتى این قضیه را در همین </w:t>
      </w:r>
      <w:r>
        <w:rPr>
          <w:rtl w:val="0"/>
          <w:lang w:val="fa-IR"/>
        </w:rPr>
        <w:t xml:space="preserve">افق وحى</w:t>
      </w:r>
      <w:r>
        <w:rPr>
          <w:rtl w:val="0"/>
          <w:lang w:val="fa-IR"/>
        </w:rPr>
        <w:t xml:space="preserve"> آورده‌ام، در آن آیۀ ﴿</w:t>
      </w:r>
      <w:r>
        <w:rPr>
          <w:rtl w:val="0"/>
          <w:lang w:val="fa-IR"/>
        </w:rPr>
        <w:t xml:space="preserve">إِلَّا مَنِ ٱسۡتَرَقَ ٱلسَّمۡعَ فَأَتۡبَعَهُۥ شِهَابٞ مُّبِينٞ﴾</w:t>
      </w:r>
      <w:r>
        <w:rPr>
          <w:rStyle w:val="FootnoteReference"/>
        </w:rPr>
        <w:footnoteReference w:id="3"/>
      </w:r>
      <w:r>
        <w:rPr>
          <w:rtl w:val="0"/>
          <w:lang w:val="fa-IR"/>
        </w:rPr>
        <w:t xml:space="preserve"> و داریم كه ﴿</w:t>
      </w:r>
      <w:r>
        <w:rPr>
          <w:rtl w:val="0"/>
          <w:lang w:val="fa-IR"/>
        </w:rPr>
        <w:t xml:space="preserve">وَلَقَدۡ زَيَّنَّا ٱلسَّمَآءَ ٱلدُّنۡيَا بِمَصَٰبِيحَ وَجَعَلۡنَٰهَا رُجُومٗا لِّلشَّيَٰطِينِ وَأَعۡتَدۡنَا لَهُمۡ عَذَابَ ٱلسَّعِيرِ﴾؛</w:t>
      </w:r>
      <w:r>
        <w:rPr>
          <w:rStyle w:val="FootnoteReference"/>
        </w:rPr>
        <w:footnoteReference w:id="4"/>
      </w:r>
      <w:r>
        <w:rPr>
          <w:rtl w:val="0"/>
          <w:lang w:val="fa-IR"/>
        </w:rPr>
        <w:t xml:space="preserve"> چگونه آسمان دنیا رجم شیاطین است و در آنجا ما یك اشكالى بر مرحوم علاّمه داریم كه به نظر مى‏رسد شاید در اینجا دچار اشتباه شدند.</w:t>
      </w:r>
      <w:r>
        <w:rPr>
          <w:rStyle w:val="FootnoteReference"/>
        </w:rPr>
        <w:footnoteReference w:id="5"/>
      </w:r>
    </w:p>
    <w:p>
      <w:pPr>
        <w:pStyle w:val="Heading6"/>
      </w:pPr>
      <w:r>
        <w:rPr>
          <w:rtl w:val="0"/>
          <w:lang w:val="fa-IR"/>
        </w:rPr>
        <w:t xml:space="preserve">معنای شهاب در آیۀ </w:t>
      </w:r>
      <w:r>
        <w:rPr>
          <w:rtl w:val="0"/>
          <w:lang w:val="fa-IR"/>
        </w:rPr>
        <w:t xml:space="preserve">﴿إِلَّا مَنِ ٱستَرَقَ ٱلسَّمعَ فَأَتبَعَهُۥ شِهَاب مُّبِين﴾</w:t>
      </w:r>
    </w:p>
    <w:p>
      <w:pPr>
        <w:pStyle w:val="Heading6"/>
      </w:pPr>
      <w:r>
        <w:rPr>
          <w:rtl w:val="0"/>
          <w:lang w:val="fa-IR"/>
        </w:rPr>
        <w:t xml:space="preserve">نظم سیارات به‌واسطۀ جنبۀ مثال و مكلوتى‌شان</w:t>
      </w:r>
    </w:p>
    <w:p>
      <w:pPr/>
      <w:r>
        <w:rPr>
          <w:rtl w:val="0"/>
          <w:lang w:val="fa-IR"/>
        </w:rPr>
        <w:t xml:space="preserve">ما دربارۀ كیفیت وجود آن نفس كلى در افلاك یك صحبتى داریم كه منكر این مسئله نمى‏توانیم بشویم، گرچه این كرات سماوى را داراى یك موجود بى‏جان و جسم متحرك مى‏بینیم ولى این موجود بى‏جان و جسم متحرك به‌واسطۀ همان جنبۀ مثالى و مكلوتى كه دارد در تحت تسخیر آن امر معنوى و علت مافوق خودش هست والاّ از نظام وجودى خود به‌طورکلی خارج خواهد شد و همان جنبۀ مثالى است كه موجب رجم شیطان است نه این جنبۀ خاكى بودن آن!</w:t>
      </w:r>
    </w:p>
    <w:p>
      <w:pPr>
        <w:pStyle w:val="Heading6"/>
      </w:pPr>
      <w:r>
        <w:rPr>
          <w:rtl w:val="0"/>
          <w:lang w:val="fa-IR"/>
        </w:rPr>
        <w:t xml:space="preserve">چگونگی تأثیر نفس فلكى بر عالم ماده</w:t>
      </w:r>
    </w:p>
    <w:p>
      <w:pPr/>
      <w:r>
        <w:rPr>
          <w:rtl w:val="0"/>
          <w:lang w:val="fa-IR"/>
        </w:rPr>
        <w:t xml:space="preserve">هر شهابى كه مى‏آید و حركت مى‏كند دو حالت و دو جنبه ایجاد مى‏كند؛ یكى جنبۀ فیزیكى است كه در حال حركت است و در اثر برخورد با آن شیاطین از آنجایى كه خود شیاطین یك جنبۀ تعلق مادى دارند، براى آنها ایجاد صَدمه و صُدمه مى‏كند و به‌واسطۀ آن صُدمه‏اى كه ایجاد مى‏كند نفس آنها را از اتصال به ملكوت خود همین اجرام سماوى باز مى‏دارد. این مسئله در بین سابقین مورد توجه بوده است یعنى مى‏خواهم بگویم که مسئله خیلی بى‏ریشه نیست بلکه خیلى مورد توجه بوده است و بر همین ‌اساس كارهایى انجام مى‏دادند و ختوماتى داشتند و امورى انجام مى‏دادند همۀ اینها براساس همین تأثیرات نفس فلكى است و به نتیجه هم مى‏رسیدند. در مسائلى كه مربوط به علوم‏ غریبه است و ارتباط بین اجرام سماوى با یكدیگر و تأثیر آن اجرام بر حوادث پایین و حوادث این عالم وجود دارد، مطالب در این باره خیلى زیاد است یعنى خیلى محلّ ابتلاء است و واقعیت هم دارد یعنى همان‌طوری‌كه در امور ظاهرى ما این مطالب را مى‏بینیم مانند جذر و مدّ كه مى‏گویند: به‌واسطۀ ماه اتفاق می‌افتد، در همین قضیه به‌واسطۀ خود تأثیرهایى كه به‌وجود مى‏آورد، بعضى از اشیاء را مى‏بینیم؛ بعضى از گیاهان داراى این خصوصیت هستند و بعضی از گیاهان دارا نیستند. گیاهى كه در این منطقه باشد این خصوصیت را دارد، همان گیاه در منطقۀ دیگر باشد این خصوصیت را ندارد. این به‌خاطر مسائل فیزیكى نیست بلكه به‌خاطر كیفیت اثرى است كه در آنجا یك هم‌چنین اثرى در نفس آن گیاه وارد شده است والاّ اگر آنها را در آزمایشگاه نگاه كنید از نظر فیزیكى هردو یكى هستند و هیچ تفاوتى باهم ندارند یا اگر از نظر فیزیكى هم خاصیتى در آن پیدا شده است به او برمى‏گردد؛ یعنى آن جنبۀ ملكوتى است كه آمده و این گیاه را به كیفیت و به شكل دیگرى درآورده است. در اینها خیلى مسائل و اسرارى هست که آنهایى كه تا حدودى با این مسائل آشنایى دارند، ادراک می‌کنند. حالا اینجا دیگر مطلب زیاد است.</w:t>
      </w:r>
    </w:p>
    <w:p>
      <w:pPr>
        <w:pStyle w:val="Heading6"/>
      </w:pPr>
      <w:r>
        <w:rPr>
          <w:rtl w:val="0"/>
          <w:lang w:val="fa-IR"/>
        </w:rPr>
        <w:t xml:space="preserve">كیفیت تأثیر اذكار و اوراد در اوقات مختلفۀ شبانه‏روز</w:t>
      </w:r>
    </w:p>
    <w:p>
      <w:pPr/>
      <w:r>
        <w:rPr>
          <w:rtl w:val="0"/>
          <w:lang w:val="fa-IR"/>
        </w:rPr>
        <w:t xml:space="preserve">مثلاً در كیفیت تأثیر اذكار و اوراد در اوقات مختلفۀ شبانه‏روز این‌طور هست كه این ذكر در بین‏الطلوعین یك اثرى دارد ولی همین ذكر در اول غروب آفتاب اثر عكس دارد! یك ذكر است و ذكر هم كه چیزى نیست، تیر و كمان كه نیست بردارید بزنید! یك ذكرى است كه شخصى مى‏گوید اما كیفیت ارتباط عالم و ارتباطى كه انسان با این پدیده ایجاد مى‏كند در كیفیت تأثیر ذكر اثر خیلى عجیبى دارد كه همین ذکر در یك حالت، اثر قابضیت دارد ولی در یك جای دیگر اثر انبساط دارد، در یك جا نسبت به امور زندگی و امور حیات اثر یُسر دارد و در یك جا اثر عسر دارد. این مسئلۀ یُسر و عُسر به كیفیت ارتباط برمى‏گردد لذا نسبت به بعضى‏ها مى‏گویند که چیز نکنید.</w:t>
      </w:r>
    </w:p>
    <w:p>
      <w:pPr>
        <w:pStyle w:val="Heading6"/>
      </w:pPr>
      <w:r>
        <w:rPr>
          <w:rtl w:val="0"/>
          <w:lang w:val="fa-IR"/>
        </w:rPr>
        <w:t xml:space="preserve">لزوم خوانده ‌شدن ادعیه در همان ساعت معین‌شده از شبانه‌روز</w:t>
      </w:r>
    </w:p>
    <w:p>
      <w:pPr/>
      <w:r>
        <w:rPr>
          <w:rtl w:val="0"/>
          <w:lang w:val="fa-IR"/>
        </w:rPr>
        <w:t xml:space="preserve">من‌باب‌مثال شما اگر بخواهید دعاى صباح را كه در بین‏الطلوعین‏ خوانده می‌شود در عصر بخوانید یك هم‌چنین اثرى ندارد. دعاى صباح باید در بین‏الطلوعین خوانده بشود، دعاى سمات باید در عصر جمعه خوانده بشود. اگر بگویید که من دعاى سمات را یك ساعت قبل از ظهر مى‏خوانم، فایده‏اى ندارد بلکه هركدام از اینها جایگاه خاص خود را دارند. این مسئله‌ای هست كه در مورد اجرام سماوى و كیفیت تأثیر نفوس مى‏گفتند كه به اینجاها هم كشیده مى‏شود.</w:t>
      </w:r>
    </w:p>
    <w:p>
      <w:pPr>
        <w:pStyle w:val="Heading6"/>
      </w:pPr>
      <w:r>
        <w:rPr>
          <w:rtl w:val="0"/>
          <w:lang w:val="fa-IR"/>
        </w:rPr>
        <w:t xml:space="preserve">لزوم اطلاع استاد بر کیفیت نفوس و خواصّ اذكار</w:t>
      </w:r>
    </w:p>
    <w:p>
      <w:pPr/>
      <w:r>
        <w:rPr>
          <w:rtl w:val="0"/>
          <w:lang w:val="fa-IR"/>
        </w:rPr>
        <w:t xml:space="preserve">لذا مى‏گویند که هر كسى نمى‏تواند هر ذکری را به هر كسى بگوید به‌خاطر همین است كه باید اول از تأثیر و خواصّ اذكار اطلاع داشته باشد، دوم از كیفیت خصوصیت نفوس هم باید اطلاع و اشراف داشته باشد چون بدون آن نفوس یک‌دفعه شَدُرسنا به‌پا مى‏كند. یک چیزى مى‏خواهد بدهد ولی به‌جای دیگرى خواهد رسید و خطراتى در اینجا پیش مى‏آید. این خطرات یا خطرات جسمی است یا خطراتى است كه به شئون و این چیزها برمی‌گردد و همۀ اینها ناشى از عدم [اطلاع] است و این مسئله به آن قضیه برمى‏گردد. ولكن حل این مطلب این است كه آن تأثیر نفس ملكوتى افلاك است و خود جرم كارى ندارد.</w:t>
      </w:r>
    </w:p>
    <w:p>
      <w:pPr>
        <w:pStyle w:val="NaghlegholMatn"/>
      </w:pPr>
      <w:r>
        <w:rPr>
          <w:rStyle w:val="Arabi"/>
          <w:rtl w:val="0"/>
          <w:lang w:val="fa-IR"/>
        </w:rPr>
        <w:t xml:space="preserve">و لا یخفىٰ إنَّ الصورةَ المُنوِّعةَ لِلفَلكِ التی هی مبدأُ فصلِه المُقوِّمِ لِجنسهِ الّذی هو الجسمُ المطلقُ متقدِّمٌ فی مرتبةِ الوجود على الجسمیةِ فیكونُ علةً لِلزومِ المقدارِ و الشكلِ المختصین بِالفلك و لا یلزَمُ شی‌ءٌ مِن المفاسدِ التی ذكرها هُناک فتفطّن.</w:t>
      </w:r>
      <w:r>
        <w:rPr>
          <w:rStyle w:val="FootnoteReference"/>
        </w:rPr>
        <w:footnoteReference w:id="6"/>
      </w:r>
    </w:p>
    <w:p>
      <w:pPr/>
      <w:r>
        <w:rPr>
          <w:rtl w:val="0"/>
          <w:lang w:val="fa-IR"/>
        </w:rPr>
        <w:t xml:space="preserve">[مخفی نماند]</w:t>
      </w:r>
      <w:r>
        <w:rPr>
          <w:rStyle w:val="Arabi"/>
          <w:rtl w:val="0"/>
          <w:lang w:val="fa-IR"/>
        </w:rPr>
        <w:t xml:space="preserve"> </w:t>
      </w:r>
      <w:r>
        <w:rPr>
          <w:rtl w:val="0"/>
          <w:lang w:val="fa-IR"/>
        </w:rPr>
        <w:t xml:space="preserve">كه آن صورت که مبدأ فصل براى آن فلك است كه مقوم جنس فلكیت است و آن جسم فلك عبارت از جسم مطلق است و تااینكه آن صورت منوّعه نباشد معنا ندارد كه جسمیت بیاید تقدم داشته باشد. چگونه مى‏شود جسمیت كه جنبۀ ابهام دارد، تقوّم داشته باشد؟! شما خودتان دارید مى‏گویید که مبهم و غیرمشخص و غیرمتعیّن است پس جسمیت مطلقۀ فلك كه با فصل منوِّع به صورت اجرام سماوى درمى‏آید، نمى‏تواند خودش روى پاى خود بایستد و قوام داشته باشد. پس همین [صورت] علت براى لزوم‏ مقدار و شكلى است كه هردو به فلك اختصاص دارند پس مفاسدى كه در آنجا ذكر كردند و ایشان هم در اینجا چندتا از آن را آوردند، دیگر در اینجا پیدا نمى‏شود.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31.</w:t>
      </w:r>
    </w:p>
  </w:footnote>
  <w:footnote w:id="2">
    <w:p>
      <w:pPr>
        <w:pStyle w:val="FootnoteText"/>
      </w:pPr>
      <w:r>
        <w:rPr>
          <w:rStyle w:val="FootnoteReference"/>
        </w:rPr>
        <w:footnoteRef/>
      </w:r>
      <w:r>
        <w:t xml:space="preserve"> </w:t>
      </w:r>
      <w:r>
        <w:rPr>
          <w:rtl w:val="0"/>
          <w:lang w:val="fa-IR"/>
        </w:rPr>
        <w:t xml:space="preserve">. سوره یس (36) آیه 40. </w:t>
      </w:r>
      <w:r>
        <w:rPr>
          <w:rtl w:val="0"/>
          <w:lang w:val="fa-IR"/>
        </w:rPr>
        <w:t xml:space="preserve">امام شناسى</w:t>
      </w:r>
      <w:r>
        <w:rPr>
          <w:rtl w:val="0"/>
          <w:lang w:val="fa-IR"/>
        </w:rPr>
        <w:t xml:space="preserve">، ج ‏6، ص 170:</w:t>
      </w:r>
    </w:p>
    <w:p>
      <w:pPr>
        <w:pStyle w:val="FootnoteText"/>
      </w:pPr>
      <w:r>
        <w:rPr>
          <w:rtl w:val="0"/>
          <w:lang w:val="fa-IR"/>
        </w:rPr>
        <w:t xml:space="preserve">«و هر یك از این خورشید و ماه و از این شب و روز در مدار معیّن و مقرّر پیوسته در حركت و شناورند.»</w:t>
      </w:r>
    </w:p>
  </w:footnote>
  <w:footnote w:id="3">
    <w:p>
      <w:pPr>
        <w:pStyle w:val="FootnoteText"/>
      </w:pPr>
      <w:r>
        <w:rPr>
          <w:rStyle w:val="FootnoteReference"/>
        </w:rPr>
        <w:footnoteRef/>
      </w:r>
      <w:r>
        <w:t xml:space="preserve"> </w:t>
      </w:r>
      <w:r>
        <w:rPr>
          <w:rtl w:val="0"/>
          <w:lang w:val="fa-IR"/>
        </w:rPr>
        <w:t xml:space="preserve">. سوره حجر (1) آیه 18.</w:t>
      </w:r>
    </w:p>
    <w:p>
      <w:pPr>
        <w:pStyle w:val="FootnoteText"/>
      </w:pPr>
      <w:r>
        <w:rPr>
          <w:rtl/>
          <w:lang w:val="fa-IR"/>
        </w:rPr>
        <w:t xml:space="preserve">ترجمه:«لیکن هر شیطانی برای سرقت سمع (یعنی برای دزدیدن و دریافتن سخن فرشتگان عالم بالا) به آسمان نزدیک شود تیر شهاب و شعله آسمانی او را تعقیب کند.» (محقق).</w:t>
      </w:r>
    </w:p>
  </w:footnote>
  <w:footnote w:id="4">
    <w:p>
      <w:pPr>
        <w:pStyle w:val="FootnoteText"/>
      </w:pPr>
      <w:r>
        <w:rPr>
          <w:rStyle w:val="FootnoteReference"/>
        </w:rPr>
        <w:footnoteRef/>
      </w:r>
      <w:r>
        <w:t xml:space="preserve"> </w:t>
      </w:r>
      <w:r>
        <w:rPr>
          <w:rtl w:val="0"/>
          <w:lang w:val="fa-IR"/>
        </w:rPr>
        <w:t xml:space="preserve">. سوره ملك (67) آیه 5.</w:t>
      </w:r>
    </w:p>
    <w:p>
      <w:pPr>
        <w:pStyle w:val="FootnoteText"/>
      </w:pPr>
      <w:r>
        <w:rPr>
          <w:rtl w:val="0"/>
          <w:lang w:val="fa-IR"/>
        </w:rPr>
        <w:t xml:space="preserve">ترجمه: «و ما آسمان دنیا را به چراغ‌های انجم رخشان زیب و زیور دادیم و به تیر شهاب آن ستارگان شیاطین را راندیم و عذاب آتش فروزان را بر آنها مهیّا ساختیم.» (محقق)</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421.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