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و یکم</w:t>
      </w:r>
    </w:p>
    <w:p>
      <w:pPr>
        <w:pStyle w:val="Heading5"/>
      </w:pPr>
      <w:r>
        <w:rPr>
          <w:rtl w:val="0"/>
          <w:lang w:val="fa-IR"/>
        </w:rPr>
        <w:t xml:space="preserve">عدم دخالت جوهریت ماده و جوهریت جنس در انتزاع جنس از ماده بنابر نظر مرحوم آخوند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إذا تُقَرِرَ هذا فَنَقولُ كونُ الشَی‌ءِ واقِعاً تَحتَ مَقولَةٍ بِحَسَبِ اعتِبارِ وجودِه فی نَفسِه لا یوجَبُ كونَهُ واقِعاً بِاعتِبارٍ آخَر تَحتَ تِلكَ المَقولَةِ بَل و لا تَحتَ مقولة مِنَ المَقولات.</w:t>
      </w:r>
      <w:r>
        <w:rPr>
          <w:rStyle w:val="FootnoteReference"/>
        </w:rPr>
        <w:footnoteReference w:id="1"/>
      </w:r>
    </w:p>
    <w:p>
      <w:pPr/>
      <w:r>
        <w:rPr>
          <w:rtl w:val="0"/>
          <w:lang w:val="fa-IR"/>
        </w:rPr>
        <w:t xml:space="preserve">این مطلبى را که مرحوم آخوند ذکر کردند و همان‌طورى‌که عرض شد مبتنى بر اشکالى بود که بر کیفیت اتخاذ جنس از ماده و همین‌طور فصل از صورت وارد شد. درحالى‌که بر طبق آنچه که معروف و مشهور است خود ماده و صورت در تحت مقولۀ جوهر هستند و اگر قرار باشد آن حیثیتِ شمول در کیفیت اتخاذ جنس مدّنظر باشد، آن شمول در جوهریت خود صورت هم وجود دارد، خود صورت هم داراى یک حقیقت جوهریه‏ است که آن حقیقت جوهریه شامل همۀ افراد و مصادیق مندرجه در تحت آن خواهد بود. بنابراین چرا شما مى‏آیید و جنس را از ماده اخذ می‌کنید؟ جنس را از صورت اخذ کنید، چون هم آن داراى جوهر است و هم ماده جوهر است، پس این اتخاذ چگونه خواهد بود؟</w:t>
      </w:r>
    </w:p>
    <w:p>
      <w:pPr/>
      <w:r>
        <w:rPr>
          <w:rtl w:val="0"/>
          <w:lang w:val="fa-IR"/>
        </w:rPr>
        <w:t xml:space="preserve">این جوابى که مرحوم آخوند بنابر مشى حکمت مشاء و مسئلۀ متعارف قوم دادند بر این بود که گرچه خود صورت داراى حقیقت جوهریه است و همان‌طور ماده‏ هم داراى حقیقت جوهریه است ولى </w:t>
      </w:r>
      <w:r>
        <w:rPr>
          <w:rStyle w:val="Arabi"/>
          <w:rtl w:val="0"/>
          <w:lang w:val="fa-IR"/>
        </w:rPr>
        <w:t xml:space="preserve">بَینَهُما بَونٌ بَعید</w:t>
      </w:r>
      <w:r>
        <w:rPr>
          <w:rtl w:val="0"/>
          <w:lang w:val="fa-IR"/>
        </w:rPr>
        <w:t xml:space="preserve"> در تحصل و ابهام.</w:t>
      </w:r>
    </w:p>
    <w:p>
      <w:pPr/>
      <w:r>
        <w:rPr>
          <w:rtl w:val="0"/>
          <w:lang w:val="fa-IR"/>
        </w:rPr>
        <w:t xml:space="preserve">در ابهام خب جنس داراى حقیقت جوهریه‏اى است که صرف استعداد و هیولاى محض است و آن استعداد و هیولاى محض، از خود وجود و حیاتى ندارد و قوام او به قوام آن صورتى است که به او تحصل و تعیّن و تشخّص مى‏بخشد. بنابراین آنچه را که در معناى ابهام که لازم آن، عبارت است از حیثیت شمولى که نسبت به همۀ انواع مى‏تواند داشته باشد، می‌خواهیم، آن را فقط در ماده مى‏توانیم پیدا بکنیم نه در فصل، زیرا آن فصل و صورت خودش عبارت از تعیّن خارج است و آن تعیّن خارج دیگر قابل سرایت به فرد دیگر نیست. هر شیئى تعینّش به خودش است و آن تعیّن موجب تشخّص نوعیه است، پس آنچه را که ما از حیث شمول به‌دنبال او هستیم نمى‏توانیم در یک امر متمایز بیابیم.</w:t>
      </w:r>
    </w:p>
    <w:p>
      <w:pPr/>
      <w:r>
        <w:rPr>
          <w:rtl w:val="0"/>
          <w:lang w:val="fa-IR"/>
        </w:rPr>
        <w:t xml:space="preserve">بله، در امر مشترک مى‏توانیم بیابیم؛ فرض کنید در سنخیت علمیه مى‏توانیم بگوییم که این علم از حیث شمولى که دارد در هرجا مصداق پیدا کرد، محقق عنوان عالمیت است، حالا چه مصداق آن مرد یا زن باشد، پیر یا جوان باشد، کوچک یا بزرگ باشد تفاوتى نمى‏کند چون آن جنبۀ علمیت جنبۀ سِعى است و در هر مصداقى مى‏تواند محقق آن عنوان باشد ولکن خود آن شخصى که الآن متصف به این علم شده گرچه از نقطه‌نظر وجود حیثیت علمیه با بقیه اشتراک دارد، در این مسئله شکى نیست ولى آیا خود آن شخص هم </w:t>
      </w:r>
      <w:r>
        <w:rPr>
          <w:rStyle w:val="Arabi"/>
          <w:rtl w:val="0"/>
          <w:lang w:val="fa-IR"/>
        </w:rPr>
        <w:t xml:space="preserve">بِنفسه و بِوجودِه</w:t>
      </w:r>
      <w:r>
        <w:rPr>
          <w:rtl w:val="0"/>
          <w:lang w:val="fa-IR"/>
        </w:rPr>
        <w:t xml:space="preserve"> قابل سرایت و قابل تسرى به سایر افراد است؟ نه، آن دیگر وجودش وجود فى‌نفسه خودش است و دیگر به کسی کارى ندارد. آن دیگر وجود مشترک ندارد تااینکه خود تحقق او در دیگران موجب تحقق یک عنوان شود. اصلاً معنا ندارد که وجودش در دیگران و در اشیاء دیگر ظهور پیدا بکند. نفس وجود او فی‌نفسه آن حقیقت صوریه‌اى است که موجب تحقق اوست و قابل سرایت به دیگران هم نخواهد بود.</w:t>
      </w:r>
    </w:p>
    <w:p>
      <w:pPr/>
      <w:r>
        <w:rPr>
          <w:rtl w:val="0"/>
          <w:lang w:val="fa-IR"/>
        </w:rPr>
        <w:t xml:space="preserve">بنابراین آنچه را که ما باید براى جنسیت یعنى براى یک حقیقت قابل سرایت داشته باشیم، آن را نمى‏توانیم در یک امرى که آن امر مختص به خود یک تعیّن خارجى است و قابل سرایت به دیگران نیست جستجو کنیم بلکه باید به‌دنبال امرى برویم که قابلیت براى سِعه و اشتراک را داشته باشد، قابلیت براى وجود در مواضع مختلف و در اشیاء مختلف داشته باشد، آنجاست که دستمان باز است براى اینکه یک جنس را بتوانیم انتزاع کنیم. این مسئله مربوط به همان مشى قوم بود که مرحوم آخوند ذکر کردند و نسبت به این قضیه پاسخ دادند.</w:t>
      </w:r>
    </w:p>
    <w:p>
      <w:pPr/>
      <w:r>
        <w:rPr>
          <w:rtl w:val="0"/>
          <w:lang w:val="fa-IR"/>
        </w:rPr>
        <w:t xml:space="preserve">به‌دنبال مطلب، ایشان به یک نکته پرداختند که به اعتقاد خودشان نکتۀ بسیار مهمی است و حکایت از سرّى مى‏کند که آن سرّ براى همۀ افراد قابل فهم و قابل تصور به ‌کُنهِه نیست و آن این است که به‌طورکلی اشکالى را که وارد مى‏شد بر اینکه نفس آدمى ‏داخل در تحت مقولۀ جوهر است و به‌واسطۀ صورتیت آن براى جسم و بدن موجب تحقق جسم است، این اشکال را از این نقطه‌نظر نسبت به نفس برمى‏دارند و مى‏فرمایند: گرچه نفس فی‌حدّنفسه </w:t>
      </w:r>
      <w:r>
        <w:rPr>
          <w:rStyle w:val="Arabi"/>
          <w:rtl w:val="0"/>
          <w:lang w:val="fa-IR"/>
        </w:rPr>
        <w:t xml:space="preserve">جوهَرُ مِنَ الجَواهِر</w:t>
      </w:r>
      <w:r>
        <w:rPr>
          <w:rtl w:val="0"/>
          <w:lang w:val="fa-IR"/>
        </w:rPr>
        <w:t xml:space="preserve"> و این وجودِ فی‌نفسه موجب جوهریت او است ولکن خود این صورتیت براى جسم، موجب جوهر بودن نخواهد شد. زیرا صورت چون مقوّمِ براى ماده و جسم است ممکن است که در تحت مقوله‌اى از مقولات قرار نگیرد.</w:t>
      </w:r>
    </w:p>
    <w:p>
      <w:pPr/>
      <w:r>
        <w:rPr>
          <w:rtl w:val="0"/>
          <w:lang w:val="fa-IR"/>
        </w:rPr>
        <w:t xml:space="preserve">اشکالى که وارد مى‏شود بر اینکه چرا شما جنس را از ماده مى‏گیرید و از صورت نمى‏گیرید، این اشکال به صورت وارد نمى‏شود چون صورت عبارت از حقیقت مرتبطه‏ای است که موجب تقوم جسم است. از یک نقطه‌نظر جزء براى جسم است و از یک نقطه‌نظر به یک اعتبارى موجب تقوّم جسم خواهد بود و آنچه که موجب تقوم جسم است ما دلیلى بر جوهریت او نداریم، شاید حقیقتى باشد ماوراء جوهریت و موجب تقوّم شی‏ء خواهد شد، بنابراین اگر بخواهد اشکال وارد بشود بر اینکه به‌خاطر صورت بودن باید او در تحت مقولۀ جوهر باشد، ‌چنین اشکالى وارد نمى‏شود. گرچه خود نفس فی‌حدّنفسه مى‏خواهد جوهر باشد باشد، ما به او کار نداریم. ما در اینجا دو اعتبار را مورد لحاظ قرار مى‏دهیم. مثل‌اینکه یک نفر دوتا کار ‏انجام داد؛ یک کارش قتل نفس بود و یک کار دیگرى هم که کرده آمده از دیوار مردم بالا رفته است. به‌خاطر بالا رفتن از دیوار حکم اعدام براى این صادر نمى‏شود ولى به‌خاطر قتل نفس حکم اعدام مى‏آورند گرچه هردو جرم است ولى این جرم این جزا را دارد آن جرم جزاى دیگرى دارد و به‌خاطر این آن کار را انجام می‌دهند بنابراین اگر اولیاى دم از این قتل صرف‌نظر کردند دیگر به‌خاطر بالا رفتن از دیوار نباید که او را اعدام یا قصاص بکنند، آن براى خودش حکم و جزاى جدایى دارد، حالا هرچه مى‏خواهد باشد.</w:t>
      </w:r>
    </w:p>
    <w:p>
      <w:pPr/>
      <w:r>
        <w:rPr>
          <w:rtl w:val="0"/>
          <w:lang w:val="fa-IR"/>
        </w:rPr>
        <w:t xml:space="preserve">در اینجا نفس از نظر واقع و از نظر خودش فی‌حدّنفسه داخل در تحت حقیقت جوهر است، یعنى وجودى است که آن وجود به‌خاطر خصوصیاتی که دارد از نقطه‌نظر دسته‌بندى منطقى و فلسفى داخل در تحت مقولۀ جوهر قرار مى‏گیرد نه داخل در تحت مقولۀ عرض. ولى وقتى که شما این را در جای دیگری به‌خاطر تعلقش به بدن مى‏خواهید ملاحظه کنید و اینکه به بدن جسمیت بخشیده و اگر این نفس از این سلب بشود جسمیت خود را ازدست مى‏دهد، از آن نقطه‌نظر شما به این نمى‏توانید جوهر بگویید، صحبت در کیفیت اخذ جنس از ماده و فصل از صورت است، نه از خود ذات صورت، حالا صورت ذاتش چیست؟ ذاتش هرچه مى‏خواهد باشد فرض کنید صورت ذاتش عرض بود خب عرض باشد،‏ صورت الآن در ذاتش عرض است مثل صورت مقولات عرضیه که در آنجا خود عرض به یک اعتبار عارض بر جنس مى‏شود البته آن ترکیب که اتحادى و اعتبارى است و آن خودش محقق یک عرض از اعراض است همان‌طور که ما در بسائط صحبت مى‏کردیم در اینجا هم همین‌طور است. صرف صورت بودن موجب داخل در تحت مقولۀ جوهر بودن نیست پس دیگر دراین‌صورت اشکال مرتفع خواهد شد زیرا صورت یک حقیقت مقوّمه‏اى است که مى‏آید و آن جنس را به مرتبۀ بروز و ظهور مى‏رساند تا این صورت درِ خانه را نزند این ماده نمى‏تواند خود را بنمایاند و ابراز کند، باید [صورت] بیاید تا این مسئله محقق بشود. این مطلب را مرحوم آخوند ذکر کردند البته صحبت ایشان ادامه دارد و ما در ادامۀ همین صحبت ایشان مطالب را عرض مى‏کنیم.</w:t>
      </w:r>
    </w:p>
    <w:p>
      <w:pPr/>
      <w:r>
        <w:rPr>
          <w:rtl w:val="0"/>
          <w:lang w:val="fa-IR"/>
        </w:rPr>
        <w:t xml:space="preserve">آنچه که در اینجا به‌نظر بنده مى‏رسید که عرض کردم قابل تأمل است ـ البته نسبت به این قضیه من ندیدم جایی اشاره بشود حالا رفقا نگاه کنند شاید جایى هم این قضیه مطرح شده باشد ـ و آن اشکالى که در اینجا وارد مى‏شود این است که چطور شما وجودِ نفس را وجودِ جوهرى مى‏دانید ولى در اعتبارش به اعتبار دیگر و در اعتبارش به تعلق جسم و بدن او را داخل در تحت مقولۀ جوهر نمى‏دانید؟! صحبت در این است که اگر ما وجود فی‌نفسه شیئى را جوهر بدانیم این وجود فی‌نفسه از نقطه‌نظر علت طبعى مقدم بر همۀ حیثیاتى است که بعداً مى‏تواند مترتب بر این ذات بشود، حالا این تعلق به بدن بگیرد یا نگیرد علیٰ‌کلّ‌حال فرض کنید که این به هر کیفیتى تقدم طبعى و تقدم ذاتى دارد و در تقدم ذاتى و طبعى همیشه مقدم است.</w:t>
      </w:r>
    </w:p>
    <w:p>
      <w:pPr/>
      <w:r>
        <w:rPr>
          <w:rtl w:val="0"/>
          <w:lang w:val="fa-IR"/>
        </w:rPr>
        <w:t xml:space="preserve">وقتى که شما یک میز یا صندلى را می‌خواهید درست بکنید آنچه را که أولاًبلااول مورد نظر است این است که جنس و ماهیت آن شیئی که با او میز مى‏خواهد درست بشود چه خواهد بود؟ آهن است یا چوب است؟ اگر شما چوب را مدّنظر گرفتید پس آن ذاتیت چوب در همۀ اطوار خودش را نگه مى‏دارد، به هر صورتى که شما مى‏خواهید او را دربیاورید آن اول خود را مى‏نمایاند؛ من چوب هستم که الآن به شکل استوانه یا مخروط یا مکعب درآمدم، آن جنبۀ خشبیت که جنبۀ ذاتى او است در همۀ مراتب و صور نوعیه اعم از اینکه میز باشد، صندلى باشد، کرسى باشد، در و پنجره و کمد باشد هرچه مى‏خواهد باشد موجود است و ما نمى‏توانیم آنها را سلب کنیم.</w:t>
      </w:r>
    </w:p>
    <w:p>
      <w:pPr/>
      <w:r>
        <w:rPr>
          <w:rtl w:val="0"/>
          <w:lang w:val="fa-IR"/>
        </w:rPr>
        <w:t xml:space="preserve">بنابراین با توجه به این مسئله یعنى با لحاظ جنبۀ جوهریتِ نفس که الآن به بدن تعلق گرفته است، این جوهریتِ نفس الآن در اینجا به حیثیت مقدِّمیت مبدّل شده است، به حیثیت تعلّقیۀ به جسم مبدَّل شده است که بنا بر کلام شما او را جزوى از جسم یا مقوّم جسم کرده است. در هردو اعتبار، آن حیثیت اولیۀ جوهریت که ازبین نمى‏رود چون فرض بر این است که شما آن وجود فی‌نفسه او را وجودِ جوهر قرار دادید و این وجود، وجودى است که در همه حال خود را حاضر مى‏بیند. شما یک مثال براى ما بزنید که در آنجا آن صورت که در وجود فی‌نفسه خود، داراى حقیقت جوهریه نباشد آن‌وقت در تعلقش به آن ماده بگویید که در اینجا جنبۀ جوهریت را مورد لحاظ قرار نمى‏دهیم. خب اشکال ندارد.</w:t>
      </w:r>
    </w:p>
    <w:p>
      <w:pPr/>
      <w:r>
        <w:rPr>
          <w:rtl w:val="0"/>
          <w:lang w:val="fa-IR"/>
        </w:rPr>
        <w:t xml:space="preserve">از اول صحبت در آن جایى است که صورت خودش فی‌حدّنفسه </w:t>
      </w:r>
      <w:r>
        <w:rPr>
          <w:rStyle w:val="Arabi"/>
          <w:rtl w:val="0"/>
          <w:lang w:val="fa-IR"/>
        </w:rPr>
        <w:t xml:space="preserve">جوهرٌ</w:t>
      </w:r>
      <w:r>
        <w:rPr>
          <w:rtl w:val="0"/>
          <w:lang w:val="fa-IR"/>
        </w:rPr>
        <w:t xml:space="preserve">، بحث قوم اصلاً در این است که نفس، </w:t>
      </w:r>
      <w:r>
        <w:rPr>
          <w:rStyle w:val="Arabi"/>
          <w:rtl w:val="0"/>
          <w:lang w:val="fa-IR"/>
        </w:rPr>
        <w:t xml:space="preserve">جوهرٌ مِن الجواهر </w:t>
      </w:r>
      <w:r>
        <w:rPr>
          <w:rtl w:val="0"/>
          <w:lang w:val="fa-IR"/>
        </w:rPr>
        <w:t xml:space="preserve">والاّ در آنجایى که مسئله مربوط به بسائط است و صورت در آنجا جوهر نیست، هم صورت و هم ماده در آنجا بسیط است و کسى در آنجا حرف ندارد، آنجا اخذ جنس یک اخذ اعتبارى است و اصلاً اخذ حقیقى نیست. صحبت در جنس و فصل حقیقى منطقى است که جنس و فصل منطقى یا به عبارت دیگر فلسفى ـ اگر به خود کُنهِ وجودش بخواهد نگاه کند ـ در آنجا که این جنس به‌عنوان یک امر موسّع اخذ مى‏شود و صورت به‌عنوان یک امر مُضیَّق و مُحدَّد لحاظ مى‏شود شما چه حرفى مى‏زنید که ترکیب ترکیب واقعى و حقیقى است منتها آن ترکیب اتحادى است ولى بالأخره این حقیقت فصلیت که موجب تعیّن شده و بدون آن حقیقت فصلیت آن جنس و ماده إلى أبد الدهر در مقام ابهام باقى مى‏ماند بالأخره این </w:t>
      </w:r>
      <w:r>
        <w:rPr>
          <w:rStyle w:val="Arabi"/>
          <w:rtl w:val="0"/>
          <w:lang w:val="fa-IR"/>
        </w:rPr>
        <w:t xml:space="preserve">جوهرٌ أو لا؟</w:t>
      </w:r>
      <w:r>
        <w:rPr>
          <w:rtl w:val="0"/>
          <w:lang w:val="fa-IR"/>
        </w:rPr>
        <w:t xml:space="preserve"> صحبت در این است؛ وقتى که </w:t>
      </w:r>
      <w:r>
        <w:rPr>
          <w:rStyle w:val="Arabi"/>
          <w:rtl w:val="0"/>
          <w:lang w:val="fa-IR"/>
        </w:rPr>
        <w:t xml:space="preserve">جوهرٌ</w:t>
      </w:r>
      <w:r>
        <w:rPr>
          <w:rtl w:val="0"/>
          <w:lang w:val="fa-IR"/>
        </w:rPr>
        <w:t xml:space="preserve"> پس چرا شما مى‏آیید جنس را از ماده اخذ مى‏کنید؟! بالأخره این در وجودش </w:t>
      </w:r>
      <w:r>
        <w:rPr>
          <w:rStyle w:val="Arabi"/>
          <w:rtl w:val="0"/>
          <w:lang w:val="fa-IR"/>
        </w:rPr>
        <w:t xml:space="preserve">جوهرٌ</w:t>
      </w:r>
      <w:r>
        <w:rPr>
          <w:rtl w:val="0"/>
          <w:lang w:val="fa-IR"/>
        </w:rPr>
        <w:t xml:space="preserve">، حالا شما بگویید که این در اینجا صورت است بالأخره آنچه که در آنجا جوهر است که در همان مرتبۀ وجود فی‌نفسه باقى نماند بلکه آمد به جسم تعلق پیدا کرد و قضیه لنگ در هوا نماند، این صورت فصلیت انسانیت همین‌طور در عالم صورت و معنا که نماند بلکه پایین آمده تا در اینجا تعلق به جسم گرفت و جزئى از جسم شده و موجب قوام جسم شد.</w:t>
      </w:r>
    </w:p>
    <w:p>
      <w:pPr/>
      <w:r>
        <w:rPr>
          <w:rtl w:val="0"/>
          <w:lang w:val="fa-IR"/>
        </w:rPr>
        <w:t xml:space="preserve">حالا در اینجا صحبت در این است که فصلیتش از چه اخذ مى‏شود؟ جنسیت در اینجا از چه اخذ مى‏شود؟ شما آن وجود فی‌نفسه را در اینجا نمى‏توانید انکار کنید و بعد بگویید که به لحاظ صورتیتش در اینجا، این صورتیت موجب جوهریت نیست و آن جوهریت در اینجا جداست. بله، خود صورتیت فی‌حدّنفسه موجب جوهریت نیست اگر صورتیت در بسائط باشد آن جوهریت ندارد صورتیت در غیر بسائط باشد در اینجا موجب جوهریت هست و </w:t>
      </w:r>
      <w:r>
        <w:rPr>
          <w:rStyle w:val="Arabi"/>
          <w:rtl w:val="0"/>
          <w:lang w:val="fa-IR"/>
        </w:rPr>
        <w:t xml:space="preserve">یَعودُ الإشکال إلى أوَّله</w:t>
      </w:r>
      <w:r>
        <w:rPr>
          <w:rtl w:val="0"/>
          <w:lang w:val="fa-IR"/>
        </w:rPr>
        <w:t xml:space="preserve"> این مسئله در اینجا باید مورد توجه قرار بگیرد.</w:t>
      </w:r>
    </w:p>
    <w:p>
      <w:pPr/>
      <w:r>
        <w:rPr>
          <w:rtl w:val="0"/>
          <w:lang w:val="fa-IR"/>
        </w:rPr>
        <w:t xml:space="preserve">آنچه که در رفع این اشکال به‌نظر مى‏رسد این است که در اینجا بین بسائط و مرکبات دیگر تفاوت نمى‏کند، همۀ اشیاء خارجى تمام اینها از نقطه‌نظر حقیقتِ وجودشان عبارت از صورت محضه هستند! آن صورت محضه است که یا در خارج تبلور و ظهورش به‌نحو مرکبات خارجیه است مثل اجسام و ابدان و احجار یا به‌نحو بسائط در عالم خارج است مثل سایر مقولات عرضیه که اینها حیثیتشان، حیثیت ترکیبیه نیست بلکه حیثیت بسیطیه است که اینها قبل از آن، نیاز به تحقق موضوع دارند و باید بر آنها آن چیز حمل بشوند.</w:t>
      </w:r>
    </w:p>
    <w:p>
      <w:pPr/>
      <w:r>
        <w:rPr>
          <w:rtl w:val="0"/>
          <w:lang w:val="fa-IR"/>
        </w:rPr>
        <w:t xml:space="preserve">در هردوى اینها دو حیثیت وجودیۀ مختلفه قرار دارد؛ حیثییت وجودیه‌اى که در خارج مى‏تواند براى اعراض موضوع قرار بگیرد، حیثیت وجودیه‌ای که در خارج باید مسبوق به موضوع باشد. این دو حیثیت در خارج عبارت از کیفیت ظهور نفس الوجود در آن قالب خاصى است که حالا آن قالب خاص به اراده و مشیت پروردگار هست، ولى صحبت در این است که در هرکدام از این دو حیثیت آنچه که هست عبارت از همان ظهور و تبلور وجود است که نفس الوجود خودش </w:t>
      </w:r>
      <w:r>
        <w:rPr>
          <w:rStyle w:val="Arabi"/>
          <w:rtl w:val="0"/>
          <w:lang w:val="fa-IR"/>
        </w:rPr>
        <w:t xml:space="preserve">متعینٌ بِذاته و متشخصٌ بِذاته</w:t>
      </w:r>
      <w:r>
        <w:rPr>
          <w:rtl w:val="0"/>
          <w:lang w:val="fa-IR"/>
        </w:rPr>
        <w:t xml:space="preserve">، هم خودش فی‌حدّنفسه تعیّن و تشخّص ذاتى دارد و هم خود آن صورت در ظهور و بروزش و تحدّدش به حدودش و تَمَوُّه او به ماهیت وجود خارجى دارد و غیر از صورت «</w:t>
      </w:r>
      <w:r>
        <w:rPr>
          <w:rStyle w:val="Arabi"/>
          <w:rtl w:val="0"/>
          <w:lang w:val="fa-IR"/>
        </w:rPr>
        <w:t xml:space="preserve">لیس فى الدار غیره دیّار»</w:t>
      </w:r>
      <w:r>
        <w:rPr>
          <w:rtl w:val="0"/>
          <w:lang w:val="fa-IR"/>
        </w:rPr>
        <w:t xml:space="preserve">! از این حقیقت وجودیه در مقام نفسیت خودش نه تعبیر به‌صورت آورده مى‏شود نه تعبیر به ماده، در مقام تحقق فی‌نفسه خود هیچ‌کدام از این دوتا را ندارد، یعنى در تحقق فی‌نفسه این وجود، نه صورت حقیقت دارد نه ماده، زیرا در اینجا اطلاق محض است، در آنجا عدم تعیّن محض است؛ عدم تعیّن به‌عنوان تحدّد و به‌عنوان محدودیت ماهوى که از آن تعبیر به وجود بالصرافه مى‏شود. در مقام صرافتِ نوریۀ وجود نه صورت وجود دارد نه جنس، صورت و ماده در مقام بروز و ظهور است نه در مقام نفس آن ذاتیت شی‏ء که همان نفس وجودِ بسیط و بالصرافه است، در آنجا دیگر صورت درقبال ماده وجود ندارد.</w:t>
      </w:r>
    </w:p>
    <w:p>
      <w:pPr/>
      <w:r>
        <w:rPr>
          <w:rtl w:val="0"/>
          <w:lang w:val="fa-IR"/>
        </w:rPr>
        <w:t xml:space="preserve">در آنجا به یک عنوان مى‏توانیم بگوییم که اصلاً صورتیت برداشته مى‏شود و تبدیل به صورتیت محضه است یعنى آن صورتیت محضه است که فی‌حدّنفسه </w:t>
      </w:r>
      <w:r>
        <w:rPr>
          <w:rStyle w:val="Arabi"/>
          <w:rtl w:val="0"/>
          <w:lang w:val="fa-IR"/>
        </w:rPr>
        <w:t xml:space="preserve">متعینٌ بِذاته و متشخص بذاته و لا یَحتاج الى تَعَیُّنِه و تَمَیُّزِه و تَشَخُّصِه و تَحقُّقِه و تَکَوُّنه بأمرٍ آخر و علَّةٍ اُخرى</w:t>
      </w:r>
      <w:r>
        <w:rPr>
          <w:rtl w:val="0"/>
          <w:lang w:val="fa-IR"/>
        </w:rPr>
        <w:t xml:space="preserve">، این نفس وجود فی‌نفسه </w:t>
      </w:r>
      <w:r>
        <w:rPr>
          <w:rStyle w:val="Arabi"/>
          <w:rtl w:val="0"/>
          <w:lang w:val="fa-IR"/>
        </w:rPr>
        <w:t xml:space="preserve">صورةٌ</w:t>
      </w:r>
      <w:r>
        <w:rPr>
          <w:rtl w:val="0"/>
          <w:lang w:val="fa-IR"/>
        </w:rPr>
        <w:t xml:space="preserve">، به این اعتبار اگر ما بخواهیم لحاظ بکنیم والاّ مى‏توانیم بگوییم که اصلاً صورت هم نیست. به این اعتبار این صورت مى‏شود. این نفس الوجود به هر کیفیتى که دربیاید باز در آن کیفیت </w:t>
      </w:r>
      <w:r>
        <w:rPr>
          <w:rStyle w:val="Arabi"/>
          <w:rtl w:val="0"/>
          <w:lang w:val="fa-IR"/>
        </w:rPr>
        <w:t xml:space="preserve">صورةٌ</w:t>
      </w:r>
      <w:r>
        <w:rPr>
          <w:rtl w:val="0"/>
          <w:lang w:val="fa-IR"/>
        </w:rPr>
        <w:t xml:space="preserve">، ماده دیگر کجا بود؟ ما دیگر در اینجا ماده نداریم، یعنى هیچ ماده‏اى وجود ندارد، هر شکلی که آن صورت بخواهد بگیرد </w:t>
      </w:r>
      <w:r>
        <w:rPr>
          <w:rStyle w:val="Arabi"/>
          <w:rtl w:val="0"/>
          <w:lang w:val="fa-IR"/>
        </w:rPr>
        <w:t xml:space="preserve">صورةٌ و صورةٌ بعدَ صورةٍ و صورةٌ بعدَ صورةٍ ثانیةٍ و ثالثةٍ</w:t>
      </w:r>
      <w:r>
        <w:rPr>
          <w:rtl w:val="0"/>
          <w:lang w:val="fa-IR"/>
        </w:rPr>
        <w:t xml:space="preserve"> </w:t>
      </w:r>
      <w:r>
        <w:rPr>
          <w:rStyle w:val="Arabi"/>
          <w:rtl w:val="0"/>
          <w:lang w:val="fa-IR"/>
        </w:rPr>
        <w:t xml:space="preserve">و رابعة</w:t>
      </w:r>
      <w:r>
        <w:rPr>
          <w:rtl w:val="0"/>
          <w:lang w:val="fa-IR"/>
        </w:rPr>
        <w:t xml:space="preserve"> در همۀ این احوال آنچه که مشاهده مى‏شود و آنچه که تحقق و تکوّن پیدا کردند در همۀ آنها فقط صورت است! پس هیچ ماده‏اى در اینجا وجود ندارد! خود صور با همدیگر تفاوت مى‏کنند، خب تفاوت کنند.</w:t>
      </w:r>
    </w:p>
    <w:p>
      <w:pPr/>
      <w:r>
        <w:rPr>
          <w:rtl w:val="0"/>
          <w:lang w:val="fa-IR"/>
        </w:rPr>
        <w:t xml:space="preserve">صحبت صورت و ماده صحبت ابهام و تحصّل است و در اینجا ما ابهامى نداریم که بخواهیم آن ابهام را به ماده بزنیم و وقتى که به ماده زدیم آن‌وقت بخواهیم جنیست را از ماده بگیریم. ابهامى دیگر در اینجا وجود ندارد، آنچه که وجود دارد عبارت از تحصل محض است خب تحصل محض هم که ماده نیست! شما در اینجا چه برنج مبهمی دارید که مى‏خواهید عرضه بکنید؟! شما برنج مبهم ندارید هرچه را که بخواهید تصور بکنید حقیقتى است حالا آن حقیقت در خارج تحقق دارد، فوقش حالا بگوییم که ما در ذهنمان در اقسام برنج یک برنج داریم که هیچ نوعی ندارد، خود همان متحصل است حالا لازم نیست آن تحصل، تحصل خارجی باشد. ظرف وجود، ظرف وجود خارج باشد، ظرف وجود ذهن است و ذهن هم براى خودش دم و دستگاهى دارد، حساب و کتابى دارد.</w:t>
      </w:r>
    </w:p>
    <w:p>
      <w:pPr/>
      <w:r>
        <w:rPr>
          <w:rtl w:val="0"/>
          <w:lang w:val="fa-IR"/>
        </w:rPr>
        <w:t xml:space="preserve">آن حقیقتى را که ذهن در خود تصور مى‏کند لازم نیست عین همان در خارج باشد. خیلى از مسائلى را که ذهن تصور مى‏کند و ظرف وجود آن ذهن است اصلاً وجود خارجى ندارد، آن برنج به‌نحو ابهامى که ذهن تصور مى‏کند، در خارج وجود ندارد. شما آنچه که در خارج مى‏بینید یا برنج دم‌سیاه مى‏بینید یا رشتى و از این چیزها مى‏بینید، بالأخره آنچه که در خارج ملاحظه مى‏کنید عبارت از نوع این چیزى است که در ذهن تصور کردید نه </w:t>
      </w:r>
      <w:r>
        <w:rPr>
          <w:rStyle w:val="Arabi"/>
          <w:rtl w:val="0"/>
          <w:lang w:val="fa-IR"/>
        </w:rPr>
        <w:t xml:space="preserve">نفس الشی‏ء، نفس الشی‏ء</w:t>
      </w:r>
      <w:r>
        <w:rPr>
          <w:rtl w:val="0"/>
          <w:lang w:val="fa-IR"/>
        </w:rPr>
        <w:t xml:space="preserve"> نیست. خیلى از مسائل کلى را ذهن تصور مى‏کند، تصورِ امکان در ذهن وجود خارجى و ما‌بإزاء خارجى ندارد، تصور ضرورت ما‌بإزاء خارجى ندارد، خیلى از مسائل کلیه اعم از مقولات اولیه، ثانویه، فلسفیه، منطقیه، تمام اینهایى که انسان تصور مى‏کند مابإزاء خارجى ندارند در عین اینکه وجود دارند و براساس این وجودش ترتیب اثر مى‏دهد.</w:t>
      </w:r>
    </w:p>
    <w:p>
      <w:pPr/>
      <w:r>
        <w:rPr>
          <w:rtl w:val="0"/>
          <w:lang w:val="fa-IR"/>
        </w:rPr>
        <w:t xml:space="preserve">مثلاً اگر بگوید که آقا برو یک کیلو برنج بخر، طرف برود ماش بخرد یکى در گوشش مى‏زنید و می‌گویید: مگر کر بودى؟! من گفتم که برو برنج بخر، او هم می‌گوید که آقا آنچه را که حضرت‌عالی در ذهن تصور کردید حساب کردم و دیدم این وجود خارجى ندارد پس کلام شما </w:t>
      </w:r>
      <w:r>
        <w:rPr>
          <w:rStyle w:val="Arabi"/>
          <w:rtl w:val="0"/>
          <w:lang w:val="fa-IR"/>
        </w:rPr>
        <w:t xml:space="preserve">کأن لم یکن</w:t>
      </w:r>
      <w:r>
        <w:rPr>
          <w:rtl w:val="0"/>
          <w:lang w:val="fa-IR"/>
        </w:rPr>
        <w:t xml:space="preserve"> است، بنده به شکمی و به دلخواه خودم بلند شدم رفتم به‌جای برنج ماش خریدم. شما آنچه را که تصور کردید به من نشان بدهید! مى‏گویید که برو یک کیلو برنج بخر، خب آیا گفتید که چه برنجی بخر؟! نه نگفتم، خب پس به من نشان بده، حالا که شما نمى‏توانید و عاجز هستید از اینکه متصور خود را به من ارائه کنید پس من این امر شما را لا امر و این کلام شما را بدون کلام تصور مى‏کنم. یکى دیگر هم به این‌طرف گوشش مى‏زند و مى‏گوید که پدرسوخته آنهایى که خواندى به سرت بخورد! من نه </w:t>
      </w:r>
      <w:r>
        <w:rPr>
          <w:rtl w:val="0"/>
          <w:lang w:val="fa-IR"/>
        </w:rPr>
        <w:t xml:space="preserve">اسفار</w:t>
      </w:r>
      <w:r>
        <w:rPr>
          <w:rtl w:val="0"/>
          <w:lang w:val="fa-IR"/>
        </w:rPr>
        <w:t xml:space="preserve"> سرم مى‏شود و نه منطق، آنچه را که به تو مى‏گویم انجام بده و برو برنج را بخر تا بدتر از این حواله‌ات نکرده‌ام! طرف هم مى‏بیند نه، حالا که کار خراب است و فعلاً کار دارد به جاهاى دیگر مى‏کشد تمام خوانده‏هایش را کنار مى‏گذارد و می‌گوید که تا کار به جاى دیگر نکشیده بروم یک کیلو برنج بیاورم و خودم را راحت کنم! دیگر نمى‏رود ماش و عدس و پنیر بخرد و بگوید: شما که به من حرف نزدى براى خودت حرف زدى، یک چیزى در ذهنت هست آن‌هم ظرف وجودش در ذهنت هست و ظرفش در خارج نیست و من باید آنچه را که در خارج هست به تو ارائه بدهم نه آنچه را که در ذهن تو است، خب آنچه را که در ذهنت هست برای خودت است حالا مدام بنشین بگو برنج، ماش، عدس، بالا و پایین و همه برای خودت هست، به من چه؟! مى‏گویند که نه آقاجان آنچه را که در ذهن هست درست است، وجود دارد، حقیقت خارجیه دارد و براساس این حقیقت خارجیه ترتیب اثر داده مى‏شود، امرونهی مى‏شود، حساب و کتاب‌ها هست، معاشرت و محاورات مردم، دادوستدهای مردم همه براساس این تصورات و حقایق ذهنى در آنجا شکل مى‏گیرد.</w:t>
      </w:r>
    </w:p>
    <w:p>
      <w:pPr>
        <w:pStyle w:val="Heading6"/>
      </w:pPr>
      <w:r>
        <w:rPr>
          <w:rtl w:val="0"/>
          <w:lang w:val="fa-IR"/>
        </w:rPr>
        <w:t xml:space="preserve">شهود؛ مشاهدۀ حقائق الاعیان، نه نفس الاعیان</w:t>
      </w:r>
    </w:p>
    <w:p>
      <w:pPr>
        <w:pStyle w:val="Heading6"/>
      </w:pPr>
      <w:r>
        <w:rPr>
          <w:rtl w:val="0"/>
          <w:lang w:val="fa-IR"/>
        </w:rPr>
        <w:t xml:space="preserve">حقائق الاعیان عبارت است از حقایق صوریۀ معنویه</w:t>
      </w:r>
    </w:p>
    <w:p>
      <w:pPr/>
      <w:r>
        <w:rPr>
          <w:rtl w:val="0"/>
          <w:lang w:val="fa-IR"/>
        </w:rPr>
        <w:t xml:space="preserve">بنابراین تمام آنچه را که در عالم خارج چه در ذهن و چه در خارج تحقق پیدا مى‏کند نه ماده است و نه جنس است و نه هیچ‌کدام از اینهاست بلکه عبارت از حقایق صوریه است که این حقایق صوریه عبارت از </w:t>
      </w:r>
      <w:r>
        <w:rPr>
          <w:rStyle w:val="Arabi"/>
          <w:rtl w:val="0"/>
          <w:lang w:val="fa-IR"/>
        </w:rPr>
        <w:t xml:space="preserve">حَقیقَةُ الوجود</w:t>
      </w:r>
      <w:r>
        <w:rPr>
          <w:rtl w:val="0"/>
          <w:lang w:val="fa-IR"/>
        </w:rPr>
        <w:t xml:space="preserve"> </w:t>
      </w:r>
      <w:r>
        <w:rPr>
          <w:rStyle w:val="Arabi"/>
          <w:rtl w:val="0"/>
          <w:lang w:val="fa-IR"/>
        </w:rPr>
        <w:t xml:space="preserve">بصِرافَتِه و بِساطَتِه</w:t>
      </w:r>
      <w:r>
        <w:rPr>
          <w:rtl w:val="0"/>
          <w:lang w:val="fa-IR"/>
        </w:rPr>
        <w:t xml:space="preserve"> است. این حقایق نوریۀ وجودیۀ بالصرافه در دو ظرف، یکى در عالم اعیان و یکى در عالم مثال و بالاتر از مثال به دو صورت مختلف ظهور خارجى دارد. آن حقیقت نوریه اگر در عالم ملکوت و در عالم معنا باشد به حقیقت صوریۀ معنویه ظهور خارجى دارد، لذا کسانى که به حقایق شهودیه مى‏رسند خب اینها که اعیان را مشاهده نمى‏کنند اینها حقائق الاعیان را مشاهده مى‏کنند که عبارت از آن حقایق صوریۀ معنویه است. اگر آن حقیقت صوریه نزول بیشترى پیدا کند به عالم مثال و عالم ملکوت سفلى و عالم برزخ مى‏رسد که در آنجا حقایق صوریه با خصوصیات و قوانین و شرایط دیگر وجود دارد که در خواب یا در مشاهدات این مسئله دیده مى‏شود و براى افراد مشهود است و جاى انکار نیست زیرا مطالب مسلّمه‏اى است که در آنها شکى نیست.</w:t>
      </w:r>
    </w:p>
    <w:p>
      <w:pPr/>
      <w:r>
        <w:rPr>
          <w:rtl w:val="0"/>
          <w:lang w:val="fa-IR"/>
        </w:rPr>
        <w:t xml:space="preserve">در آنجا ما جنس و ماده نداریم بلکه آنچه که هست عبارت از حقایق صوریه است که تحدّد آنها اقتضاى </w:t>
      </w:r>
      <w:r>
        <w:rPr>
          <w:rStyle w:val="Arabi"/>
          <w:rtl w:val="0"/>
          <w:lang w:val="fa-IR"/>
        </w:rPr>
        <w:t xml:space="preserve">نحوٌ مِن أنحاء الوجود</w:t>
      </w:r>
      <w:r>
        <w:rPr>
          <w:rtl w:val="0"/>
          <w:lang w:val="fa-IR"/>
        </w:rPr>
        <w:t xml:space="preserve"> را مى‏کند این </w:t>
      </w:r>
      <w:r>
        <w:rPr>
          <w:rStyle w:val="Arabi"/>
          <w:rtl w:val="0"/>
          <w:lang w:val="fa-IR"/>
        </w:rPr>
        <w:t xml:space="preserve">نحوٌ مِن أنحاء الوجود</w:t>
      </w:r>
      <w:r>
        <w:rPr>
          <w:rtl w:val="0"/>
          <w:lang w:val="fa-IR"/>
        </w:rPr>
        <w:t xml:space="preserve"> با اعیان خارجى </w:t>
      </w:r>
      <w:r>
        <w:rPr>
          <w:rStyle w:val="Arabi"/>
          <w:rtl w:val="0"/>
          <w:lang w:val="fa-IR"/>
        </w:rPr>
        <w:t xml:space="preserve">مُتَفاوِتٌ کَما أنّ تَصوُّراتنا و حَقایِق الوجودیَةِ فى ذِهنِنا و فى صَدرِنا و فى قُلوبِنا</w:t>
      </w:r>
      <w:r>
        <w:rPr>
          <w:rtl w:val="0"/>
          <w:lang w:val="fa-IR"/>
        </w:rPr>
        <w:t xml:space="preserve">، این حقایق از نقطه‌نظر انحاء وجود داراى یک حقیقت بالاصالة است و از نقطه‌نظر اختلافش با اعیان خارجى داراى اختلاف است، این حقیقت یک حقیقتى است که ما‌بإزاء خارجى ندارد درحالى‌که خودش فی‌حدّنفسه وجود دارد و به او ترتیب اثر می‌دهد و اگر طرف نرود انجام ندهد او را مؤاخذه و عقاب مى‏کند، می‌گوید: مگر به تو نگفتم که برو آب بیاور؟! حالا تو برو نان بیاور، خب چه فرقى مى‏کند آب نان است! می‌گوید که نه آقاجان من الآن تشنه هستم و نان تشنگى من را برطرف نمى‏کند الآن نیاز به آب دارم، مى‏گوید: خب شما گفتى آب بیاور و آن آب، آب مبهم بود و من نمى‏دانستم آب را از این شیر بیاورم یا از آن شیر بیاورم، آب معدنى براى شما بیاورم یا آب چشمه بیاور، آنچه را که گفتی مبهم است و مبهم هم در خارج وجود ندارد پس من مأمور به امرى نیستم!</w:t>
      </w:r>
    </w:p>
    <w:p>
      <w:pPr>
        <w:pStyle w:val="Heading6"/>
      </w:pPr>
      <w:r>
        <w:rPr>
          <w:rtl w:val="0"/>
          <w:lang w:val="fa-IR"/>
        </w:rPr>
        <w:t xml:space="preserve">اشتباه بودن تقسیم صور خارجی به ماده و صورت</w:t>
      </w:r>
    </w:p>
    <w:p>
      <w:pPr/>
      <w:r>
        <w:rPr>
          <w:rtl w:val="0"/>
          <w:lang w:val="fa-IR"/>
        </w:rPr>
        <w:t xml:space="preserve">ببینید تمام اینها ناشى از چه مى‏شود؟! ناشى از این مى‏شود که هر چیزى را باید در جاى خودش قرار داد. صور ذهنیه مربوط به ذهن است و از بسائط است، صور خارجى مربوط به خارج است و ازجملۀ غیر بسائط است که حالا ما از او تعبیر به مرکب مى‏آوریم. ما مى‏آییم و آن صورت‌های خارجى را به ماده و صورت تقسیم مى‏کنیم. ماده‏اى در خارج نیست! ما مى‏آییم و در خارج جنس و فصل درست مى‏کنیم، جنس و فصلى در خارج نیست! ما مى‏آییم و مى‏گوییم که مابه‌الاِشتراک یا ما‌به‌الاِمتیاز است و به‌واسطۀ آن مابه‌الاِشتراک و ما‌به‌الاِمتیاز...</w:t>
      </w:r>
    </w:p>
    <w:p>
      <w:pPr/>
      <w:r>
        <w:rPr>
          <w:rtl w:val="0"/>
          <w:lang w:val="fa-IR"/>
        </w:rPr>
        <w:t xml:space="preserve">البته این مطالبى که خدمتتان عرض کردم قابل براى صحبت هست و در ادامۀ مطلب إن‌شاءالله در تتمه وقتى که در همین فصل جلوتر مى‏رسیم از آن مطالبى که بزرگان در عرفان نظرى در این زمینه نقل کردند هم نقل خواهیم کرد.</w:t>
      </w:r>
    </w:p>
    <w:p>
      <w:pPr/>
      <w:r>
        <w:rPr>
          <w:rtl w:val="0"/>
          <w:lang w:val="fa-IR"/>
        </w:rPr>
        <w:t xml:space="preserve">بنابراین آنچه که هست این است که</w:t>
      </w:r>
      <w:r>
        <w:rPr>
          <w:rStyle w:val="Arabi"/>
          <w:rtl w:val="0"/>
          <w:lang w:val="fa-IR"/>
        </w:rPr>
        <w:t xml:space="preserve"> لَیسَ فى عالِم الوُجود إلا الوُجود و مَظاهِرهُ و الصورة و المادة بِجَمیعِ أنحائِها مُنتَفٍ</w:t>
      </w:r>
      <w:r>
        <w:rPr>
          <w:rtl w:val="0"/>
          <w:lang w:val="fa-IR"/>
        </w:rPr>
        <w:t xml:space="preserve">!</w:t>
      </w:r>
    </w:p>
    <w:p>
      <w:pPr/>
      <w:r>
        <w:rPr>
          <w:rtl w:val="0"/>
          <w:lang w:val="fa-IR"/>
        </w:rPr>
        <w:t xml:space="preserve">ذهن در حقایق خارجیه در عالم شهادت و همین‌طور در عوالم غیر شهادت و همین‌طور در صور ذهنیه مى‏آید اعتباراً به‌جهت آن مشترکاتى را که مشاهده مى‏کند ما‌به‌الاِشتراکی را تصور مى‏کند و اسمش را ماده مى‏گذارد، ما‌به‌الاِمتیازی را تصور مى‏کند و اسمش را صورت مى‏گذارد، ولکن فى الحقیقه این جنبۀ صوریت حاکم است و غیر از صورت چیز دیگرى به نام ماده نداریم!</w:t>
      </w:r>
    </w:p>
    <w:p>
      <w:pPr>
        <w:pStyle w:val="Heading6"/>
      </w:pPr>
      <w:r>
        <w:rPr>
          <w:rtl w:val="0"/>
          <w:lang w:val="fa-IR"/>
        </w:rPr>
        <w:t xml:space="preserve">منبسط بودن ماده</w:t>
      </w:r>
    </w:p>
    <w:p>
      <w:pPr>
        <w:pStyle w:val="SoalMatn"/>
      </w:pPr>
      <w:r>
        <w:rPr>
          <w:rtl w:val="0"/>
          <w:lang w:val="fa-IR"/>
        </w:rPr>
        <w:t xml:space="preserve">تلمیذ: </w:t>
      </w:r>
      <w:r>
        <w:rPr>
          <w:rtl w:val="0"/>
          <w:lang w:val="fa-IR"/>
        </w:rPr>
        <w:t xml:space="preserve">ماده عبارت از همان فیض منبسط است؟</w:t>
      </w:r>
    </w:p>
    <w:p>
      <w:pPr/>
      <w:r>
        <w:rPr>
          <w:rtl w:val="0"/>
          <w:lang w:val="fa-IR"/>
        </w:rPr>
        <w:t xml:space="preserve">استاد: </w:t>
      </w:r>
      <w:r>
        <w:rPr>
          <w:rtl w:val="0"/>
          <w:lang w:val="fa-IR"/>
        </w:rPr>
        <w:t xml:space="preserve">بله، منتها خب مسئلۀ ایشان به این وضوحى نیست، در چند جای مختلف مطرح است؛ یکى در جنبۀ علت و معلول است، یکى در جنبۀ قوه و فعل است، یکى هم در مباحث نفس است ولى خب علىٰ‌کلّ‌حال این مطلبى است که نیاز به دقت بیشترى دارد! در آنجا این مسئله به وضوح نیامده یااینکه نه، این‌طور تصور من است.</w:t>
      </w:r>
    </w:p>
    <w:p>
      <w:pPr>
        <w:pStyle w:val="SoalMatn"/>
      </w:pPr>
      <w:r>
        <w:rPr>
          <w:rtl w:val="0"/>
          <w:lang w:val="fa-IR"/>
        </w:rPr>
        <w:t xml:space="preserve">تلمیذ: </w:t>
      </w:r>
      <w:r>
        <w:rPr>
          <w:rtl w:val="0"/>
          <w:lang w:val="fa-IR"/>
        </w:rPr>
        <w:t xml:space="preserve">اشراقین همین را مى‏خواهند بگویند؟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به این مطلب رسیده‏اند؟</w:t>
      </w:r>
    </w:p>
    <w:p>
      <w:pPr/>
      <w:r>
        <w:rPr>
          <w:rtl w:val="0"/>
          <w:lang w:val="fa-IR"/>
        </w:rPr>
        <w:t xml:space="preserve">استاد: </w:t>
      </w:r>
      <w:r>
        <w:rPr>
          <w:rtl w:val="0"/>
          <w:lang w:val="fa-IR"/>
        </w:rPr>
        <w:t xml:space="preserve">بله، کلام شیخ اشراق همین است.</w:t>
      </w:r>
    </w:p>
    <w:p>
      <w:pPr>
        <w:pStyle w:val="SoalMatn"/>
      </w:pPr>
      <w:r>
        <w:rPr>
          <w:rtl w:val="0"/>
          <w:lang w:val="fa-IR"/>
        </w:rPr>
        <w:t xml:space="preserve">تلمیذ: </w:t>
      </w:r>
      <w:r>
        <w:rPr>
          <w:rtl w:val="0"/>
          <w:lang w:val="fa-IR"/>
        </w:rPr>
        <w:t xml:space="preserve">داستانى را نقل کرده‏اند که بنده خدایى گوشتى خریده بود غذا درست کند هر کارى مى‏کند نمى‏پزد به قصاب مى‏گوید گوشتى که به ما دادى خراب بوده مى‏گوید که شما گوشتى که از من خریدید به حرم بردید؟ گفت: بله مى‏گوید که حرم نبر... حالا یکى در رد این گفته گوشت بگیر ببر حرم امام حسین ببین آیا پخته مى‏شود یا نه، می‌خواست کلام مرحوم دستغیب را نقد کند.</w:t>
      </w:r>
    </w:p>
    <w:p>
      <w:pPr/>
      <w:r>
        <w:rPr>
          <w:rtl w:val="0"/>
          <w:lang w:val="fa-IR"/>
        </w:rPr>
        <w:t xml:space="preserve">استاد: </w:t>
      </w:r>
      <w:r>
        <w:rPr>
          <w:rtl w:val="0"/>
          <w:lang w:val="fa-IR"/>
        </w:rPr>
        <w:t xml:space="preserve">این شاید چیز خاصى باشد.</w:t>
      </w:r>
    </w:p>
    <w:p>
      <w:pPr>
        <w:pStyle w:val="SoalMatn"/>
      </w:pPr>
      <w:r>
        <w:rPr>
          <w:rtl w:val="0"/>
          <w:lang w:val="fa-IR"/>
        </w:rPr>
        <w:t xml:space="preserve">تلمیذ: </w:t>
      </w:r>
      <w:r>
        <w:rPr>
          <w:rtl w:val="0"/>
          <w:lang w:val="fa-IR"/>
        </w:rPr>
        <w:t xml:space="preserve">در منابر و مجالس این مطلب را نقل مى‏‌کنند، یک بار به حرم امام حسین علیه‌السّلام مشرف شده بودیم شخصی داشت این مطلب را نقل می‌کرد تأیید بر اینکه اگر کسی به حرم امام حسین بیاید آتش به او نمی‌رسد.</w:t>
      </w:r>
    </w:p>
    <w:p>
      <w:pPr/>
      <w:r>
        <w:rPr>
          <w:rtl w:val="0"/>
          <w:lang w:val="fa-IR"/>
        </w:rPr>
        <w:t xml:space="preserve">استاد: </w:t>
      </w:r>
      <w:r>
        <w:rPr>
          <w:rtl w:val="0"/>
          <w:lang w:val="fa-IR"/>
        </w:rPr>
        <w:t xml:space="preserve">نه‌خیر، خب کلیت این مطلب که صحیح نیست. مسئله براساس نیت باطن خود شخص است که آن تا چه حد خودش را به این حریم نزدیک کرده است! بله کسى که بیاید و نیت وارد شدن در این حریم را دارد و با این وضعیت امام حسین علیه‌السّلام را زیارت کند خب خواهى‌نخواهى مشمول رحمت قرار مى‏گیرد و آن باران هم بر او مى‏آید اما اگر کسى که در این حال‌وهوا نیست یا فرد معاند هست به صرف زیارت امام حسین چطور هم‌چنین رحمتى مى‏تواند شامل حالش باشد؟! بین امام حسین و امام رضا علیه‌السلام چه فرقى مى‏کند؟! بین ائمه علیهم‌السّلام چه تفاوتى هست؟! دزد مى‏آید در حرم ائمه جیب مى‏زند، حالا آتش بر او حرام می‌شود؟! افرادى را که براى طواف دادن و اینها مى‏آورند مشخص است که خود آن افراد مختلف هستند.</w:t>
      </w:r>
    </w:p>
    <w:p>
      <w:pPr/>
      <w:r>
        <w:rPr>
          <w:rtl w:val="0"/>
          <w:lang w:val="fa-IR"/>
        </w:rPr>
        <w:t xml:space="preserve">یکى از دوستان مى‏گفت که من [در حرم] نشسته بودم متوجه بودم یک‌مرتبه دیدم حالم تغییر پیدا کرد و عوض شد و فضا، فضاى مکدّرى شد دیدم دارند </w:t>
      </w:r>
      <w:r>
        <w:rPr>
          <w:rStyle w:val="Arabi"/>
          <w:rtl w:val="0"/>
          <w:lang w:val="fa-IR"/>
        </w:rPr>
        <w:t xml:space="preserve">لا إله إلا الله</w:t>
      </w:r>
      <w:r>
        <w:rPr>
          <w:rtl w:val="0"/>
          <w:lang w:val="fa-IR"/>
        </w:rPr>
        <w:t xml:space="preserve"> مى‏گویند، یک جنازه را آوردند و این جنازه به‌قدرى کدورت دارد که در من تأثیر گذاشت و وقتى که رفت، فضا عوض شد [و آن حال قبل] برگشت، مى‏گفت که درعین‌حال بیست دقیقه نگذشته بود که یک مرتبه جنازۀ دیگری آوردند، دیدم نه این این‌طورى نیست این با این وضعیت نیست. ما نمى‏توانیم بگوییم که این تصورات و تخیلاتی بوده بلکه خودش این موضوع را ادراک کرده است.</w:t>
      </w:r>
    </w:p>
    <w:p>
      <w:pPr/>
      <w:r>
        <w:rPr>
          <w:rtl w:val="0"/>
          <w:lang w:val="fa-IR"/>
        </w:rPr>
        <w:t xml:space="preserve">در روایتى داریم: </w:t>
      </w:r>
      <w:r>
        <w:rPr>
          <w:rStyle w:val="RevayatArabi"/>
          <w:rtl w:val="0"/>
          <w:lang w:val="fa-IR"/>
        </w:rPr>
        <w:t xml:space="preserve">«زیارة الحسین علیه‌السّلام فی لیلةِ الجمعةِ أمانٌ مِن النارِ یوم القیامةِ»</w:t>
      </w:r>
      <w:r>
        <w:rPr>
          <w:rStyle w:val="FootnoteReference"/>
        </w:rPr>
        <w:footnoteReference w:id="2"/>
      </w:r>
      <w:r>
        <w:rPr>
          <w:rtl w:val="0"/>
          <w:lang w:val="fa-IR"/>
        </w:rPr>
        <w:t xml:space="preserve"> این مسئله مسلّم است و شکى در این قضیه نیست ولى صحبت در این است که انسان خودش را واقعاً در این حریم قرار بدهد و بخواهد که حالت رحمت براى او بیاید و مشمول این ولایت بشود، این حالت را بخواهد و طلب کند ولی اگر فردى باشد که فقط تصورى از این مسئله داشته باشد و بخواهد سوء استفاده بکند این اصلاً خروج موضوعى دارد.</w:t>
      </w:r>
    </w:p>
    <w:p>
      <w:pPr>
        <w:pStyle w:val="Heading6"/>
      </w:pPr>
      <w:r>
        <w:rPr>
          <w:rtl w:val="0"/>
          <w:lang w:val="fa-IR"/>
        </w:rPr>
        <w:t xml:space="preserve">زوار الحسین!</w:t>
      </w:r>
    </w:p>
    <w:p>
      <w:pPr/>
      <w:r>
        <w:rPr>
          <w:rtl w:val="0"/>
          <w:lang w:val="fa-IR"/>
        </w:rPr>
        <w:t xml:space="preserve">زوار الحسین به کسانى گفته مى‏شود که زائر هستند یعنى مى‏آیند و خودشان را در این فضا قرار مى‏دهند، هر کسى مى‏خواهد باشد، خودش را در این وضعیت قرار مى‏دهد. این آدمى که براى زیارت امام حسین علیه‌السّلام مى‏آید و بعد هم آن ادا و اطوارها را درمى‏آورد و خلاصه مسائل دیگر و سُمعه و اینها مورد نظرش هست طبعاً جزو زوار به‌حساب نمى‏آید، اینها زوار حسین نیستند بلکه زوار گنبد و ضریح هستند، زوار درودیوار و ابنیۀ خود شهر هستند و زوار حسین به‌حساب نمى‏آیند.</w:t>
      </w:r>
    </w:p>
    <w:p>
      <w:pPr/>
      <w:r>
        <w:rPr>
          <w:rtl w:val="0"/>
          <w:lang w:val="fa-IR"/>
        </w:rPr>
        <w:t xml:space="preserve">آن کسى که مى‏آید و مى‏خواهد خودش را جزو سایر افراد قرار بدهد که از او عکس بگیرند و این‌طرف و آن‌طرف پخش بکنند خب اینکه زوار حسین نیست اینها فقط یک جنبۀ توریستى دارد.</w:t>
      </w:r>
    </w:p>
    <w:p>
      <w:pPr/>
      <w:r>
        <w:rPr>
          <w:rtl w:val="0"/>
          <w:lang w:val="fa-IR"/>
        </w:rPr>
        <w:t xml:space="preserve">این چیزى که حالا شما نقل کردید احتمال دارد که این مسئله </w:t>
      </w:r>
      <w:r>
        <w:rPr>
          <w:rStyle w:val="Arabi"/>
          <w:rtl w:val="0"/>
          <w:lang w:val="fa-IR"/>
        </w:rPr>
        <w:t xml:space="preserve">فی قضیةٍ شخصیةٍ</w:t>
      </w:r>
      <w:r>
        <w:rPr>
          <w:rtl w:val="0"/>
          <w:lang w:val="fa-IR"/>
        </w:rPr>
        <w:t xml:space="preserve"> انجام شود نه‌اینکه حالا هر گوشتی را بردارند و ببرند و این حرف‌ها باشد! نه هم‌چنین مسئله‏اى نیست. حالا ممکن است این مسئله به لحاظى این‌طور بوده است؛ در مثال تصرفى شده، آن حیوان چه خصوصیتى داشته که هم‌چنین مسئله‌ای به‌وجود آمده و... چون در اینجا مسائل خیلى زیاد است، مطالب خیلى عجیب است و هرکدام اینها حساب و کتاب خودش را دارد و ما نمى‏توانیم از یک قضیه به‏ یک قضیۀ دیگر تسرّى بدهیم.</w:t>
      </w:r>
    </w:p>
    <w:p>
      <w:pPr/>
      <w:r>
        <w:rPr>
          <w:rtl w:val="0"/>
          <w:lang w:val="fa-IR"/>
        </w:rPr>
        <w:t xml:space="preserve">آن مرده‏اى که دور قبر مى‏آورند و مرحوم آقا ـ رضوان ‌الله‌ تعالی‌ علیه ـ هم نوشته‏اند که وقتى جنازه داشت مى‏رفت سگى روى جنازه بود و وقتى وارد حرم شد آن سگ وارد نشد و خود بدن را بردند حالا چون آن بدن دور قبر رفته پس آن را عذاب نمى‏کنند؟! رفتن فقط یک جنبۀ ظاهرى و عادى دارد.</w:t>
      </w:r>
    </w:p>
    <w:p>
      <w:pPr/>
      <w:r>
        <w:rPr>
          <w:rtl w:val="0"/>
          <w:lang w:val="fa-IR"/>
        </w:rPr>
        <w:t xml:space="preserve">در نقل مطالب باید دقت شود که یک وقت مسئله به‌نحوى نباشد که نکتۀ ناگفته‏اى در آن موجب توهم بشود. اگر هم هم‌چنین قضیه‏اى برفرض بوده باید با علت و دلیل و ملاک و اینها براى مردم صحبت بشود والاّ شما الآن پنج کیلو گوشت بردارید ببرید یک دور طواف بدهید، این حرف‌ها نیست! الآن خیلى‌ها برنج مى‏آورند تبرک مى‏کنند و مى‏برند و مى‏پزند پس این برنج‌ها چون تبرک شده باید در دیگ بماند و بقیۀ برنج‌ها پخته بشود؟! بالأخره اینها چیزهایى است که... گاه‌گاهى هم خب احتمال این هست که هم‌چنین تصرفاتى هم بشود اما اینکه شما بخواهید به همه چیز گسترش بدهید نه، قابل سرایت نیست! هر حکمى جاى خودش را دارد.</w:t>
      </w:r>
    </w:p>
    <w:p>
      <w:pPr/>
      <w:r>
        <w:rPr>
          <w:rtl w:val="0"/>
          <w:lang w:val="fa-IR"/>
        </w:rPr>
        <w:t xml:space="preserve">ما در خیلى از مسائل مى‏بینیم که مثلاً تعریف‌هایى که از همین زبیر شده، پیغمبر صلّی الله علیه و آله و سلّم در زمان حیاتشان چقدر از همین زبیر تعریف کردند ولى خب آیا این تعریف دلالت بر تضمین او مى‏کند؟! براى همیشه این قسم بوده یااینکه نه؟! تعریفى که داشتند بر اینکه اگر زبیر الآن کشته مى‏شد در بهشت بود. واقعاً شاید مثلاً زبیر در جنگ اُحد و سایر جنگ‌ها نیتش نیت صادقى بوده! خب این نیت صادق در آن‌وقت برای همان موقع و همان وقت است.</w:t>
      </w:r>
    </w:p>
    <w:p>
      <w:pPr/>
      <w:r>
        <w:rPr>
          <w:rtl w:val="0"/>
          <w:lang w:val="fa-IR"/>
        </w:rPr>
        <w:t xml:space="preserve">انسان نمى‏تواند اعتماداً بر حالتى از حالات خودش در یک برهه‏ای، آن امور دیگر را بر این مترتب کند. این اشتباهى است که همه دارند مى‏کنند! فرض کنید یک نفر در یک زمان حال خوبى داشت، این تا آخر عمر یا مثلاً پنجاه سال از این قضیه مى‏گذرد ما بگوییم که فلانی پنجاه سال پیش حال خوبی داشته و [هنوز هم همان حال را دارد]، خب اگر این‌طور است همۀ ما موقع ولادت گناه نکردیم، همۀ ما بدون گناه به‌دنیا آمدیم. اینکه ملاک نمى‏شود!</w:t>
      </w:r>
    </w:p>
    <w:p>
      <w:pPr>
        <w:pStyle w:val="Heading6"/>
      </w:pPr>
      <w:r>
        <w:rPr>
          <w:rtl w:val="0"/>
          <w:lang w:val="fa-IR"/>
        </w:rPr>
        <w:t xml:space="preserve">ملاک، حال فعلی افراد</w:t>
      </w:r>
    </w:p>
    <w:p>
      <w:pPr/>
      <w:r>
        <w:rPr>
          <w:rtl w:val="0"/>
          <w:lang w:val="fa-IR"/>
        </w:rPr>
        <w:t xml:space="preserve">یکى از آن چیزهایى که در همان سابق براى ابوبکر به‌عنوان ارزش نقل مى‏کردند این بود که او با پیغمبر بود. این را تا الآن که بعد از 1400 سال گذشته است دارند نقل مى‏کنند. خب حالا برفرض صحت، بوده که بوده، گرچه در این قضیه هم تشکیک شده است. برفرض که در آن موقع با پیغمبر هم بوده بسیار خوب، این مسئله چقدر ادامه پیدا کرد؟! چه مقدار این قضیه طول کشید و مستمر شد و از حال به ملکه تبدیل شد؟! این‌طور نبود! حالا در یک قضیه با پیغمبر بود!</w:t>
      </w:r>
    </w:p>
    <w:p>
      <w:pPr/>
      <w:r>
        <w:rPr>
          <w:rtl w:val="0"/>
          <w:lang w:val="fa-IR"/>
        </w:rPr>
        <w:t xml:space="preserve">اتفاقاً ما در طول حیاتمان با بزرگان اینها را مى‏دیدیم که از آنها راجع به افراد تعریفاتى مى‏شنیدیم و خب در جاى خودش هم درست بود ولى بعداً دیگر تغییر و تحولاتى پیدا شد و خلافش را مثلاً مشاهده کردیم! خب وضعیت را نمى‏دانیم که به چه منوالى خواهد شد، هر شخصى باید نگاه به وضعیت فعلى خودش کند، گذشته براى انسان ملاک نیست!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2، ص 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5۳، ص ۳۱۲.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