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پانزدهم</w:t>
      </w:r>
    </w:p>
    <w:p>
      <w:pPr>
        <w:pStyle w:val="Heading5"/>
      </w:pPr>
      <w:r>
        <w:rPr>
          <w:rtl w:val="0"/>
          <w:lang w:val="fa-IR"/>
        </w:rPr>
        <w:t xml:space="preserve">مقدمات بحث مُثل‏ افلاطونیه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این جلسه به‌عنوان مقدمۀ بحث مطالبى را خارج از بحث، مربوط به ـ البته مربوط به این بحث نیست ـ مُثل افلاطونى خدمت رفقا عرض مى‏کنیم تا إن‌شاءالله جلسۀ بعد خود بحث متنى را دنبال کنیم.</w:t>
      </w:r>
    </w:p>
    <w:p>
      <w:pPr>
        <w:pStyle w:val="NaghlegholMatn"/>
      </w:pPr>
      <w:r>
        <w:rPr>
          <w:rStyle w:val="Arabi"/>
          <w:rtl w:val="0"/>
          <w:lang w:val="fa-IR"/>
        </w:rPr>
        <w:t xml:space="preserve">فصل (9) فی تحقیق الصور و المثل الأفلاطونیة.</w:t>
      </w:r>
    </w:p>
    <w:p>
      <w:pPr>
        <w:pStyle w:val="NaghlegholMatn"/>
      </w:pPr>
      <w:r>
        <w:rPr>
          <w:rStyle w:val="Arabi"/>
          <w:rtl w:val="0"/>
          <w:lang w:val="fa-IR"/>
        </w:rPr>
        <w:t xml:space="preserve">قد نُسبَ إلى أفلاطونِ الإلهى أنّه قالَ فى کثیرٍ مِن أقاویلِه موافقاً لأستاده سقراط إن لِلموجوداتِ صوراً مجردةً فى عالمِ الإله و ربما یُسمّیها المُثل الإلهیة و إنَّها لا تُدثَرُ و لا تَفسُد و لکنّها باقیةٌ و إن الذى یُدثَرُ و یُفسد إنّما هى الموجودات التى هى کائنة</w:t>
      </w:r>
      <w:r>
        <w:rPr>
          <w:rtl w:val="0"/>
          <w:lang w:val="fa-IR"/>
        </w:rPr>
        <w:t xml:space="preserve">.</w:t>
      </w:r>
      <w:r>
        <w:rPr>
          <w:rStyle w:val="FootnoteReference"/>
        </w:rPr>
        <w:footnoteReference w:id="1"/>
      </w:r>
    </w:p>
    <w:p>
      <w:pPr/>
      <w:r>
        <w:rPr>
          <w:rtl w:val="0"/>
          <w:lang w:val="fa-IR"/>
        </w:rPr>
        <w:t xml:space="preserve">مطلبى که به‌عنوان مقدمه در شروع بحث مثل افلاطونیه [بیان شد] خیلى مورد نقد و ایراد متکلمین واقع شده است و یکى از اشکالاتى که بر حکماى یونانیین گرفته مى‏شود همین مسئله و قضیۀ مثل افلاطونى است که دلیلى براى اثبات این مسئله پیدا نشده و صرفاً یک ادعا مطرح شده است ـ البته بنا بر زعم متکلمین ـ ولى در غیر حکماى یونانیین، حکماى اسلام مانند میرفندرسک و حتى شیخ اشراق قائل به مثل افلاطونى هستند منتها با یک توضیح بهتر و یک روش قابل پذیرش‏تر.</w:t>
      </w:r>
    </w:p>
    <w:p>
      <w:pPr>
        <w:pStyle w:val="Heading6"/>
      </w:pPr>
      <w:r>
        <w:rPr>
          <w:rtl w:val="0"/>
          <w:lang w:val="fa-IR"/>
        </w:rPr>
        <w:t xml:space="preserve">لزوم سنخیت بین حقایق جزئیۀ مادى خارجى و علم عنائى حق</w:t>
      </w:r>
    </w:p>
    <w:p>
      <w:pPr/>
      <w:r>
        <w:rPr>
          <w:rtl w:val="0"/>
          <w:lang w:val="fa-IR"/>
        </w:rPr>
        <w:t xml:space="preserve">صحبت در مثل افلاطونى به این کیفیت است که آنچه را که ما در عالم ماده مشاهده مى‏کنیم عبارت از ترکیب مواد در عالم شهادت است و به‌واسطۀ همین ترکیب طبعاً ماهیات جزئیه در وجودات جزئیه صورت خارجى پیدا مى‏کند. من‌باب‌مثال در انسان طبعاً ترکیب از حیوانیت و همان فصل است و در مورد سایر حیوانات، جمادات، نباتات و آنچه که در عالم ماده مشاهده مى‏شود مسئله به همین کیفیت است و از آنجایى که این مواد و آنچه که در این عالم هست جنبۀ مادى دارند و در وجود بحت و بسیط و اطلاقى پروردگار که از لوازم آن، علم عنائى نسبت به وجودات جزئیه است، وجود مادى راه ندارد و مسئلۀ امکان در آنجا راه ندارد، از این نقطه‌نظر طبعاً باید سنخیتى بین حقایق جزئیۀ مادى خارجى و آن مبدأ اول و علة الاولىٰ و علة العلل که همان علم عنائى حق است وجود داشته باشد و بدون سنخیت، هیچ وجودى در خارج تحقق خارجى نخواهد داشت.</w:t>
      </w:r>
    </w:p>
    <w:p>
      <w:pPr>
        <w:pStyle w:val="Heading6"/>
      </w:pPr>
      <w:r>
        <w:rPr>
          <w:rtl w:val="0"/>
          <w:lang w:val="fa-IR"/>
        </w:rPr>
        <w:t xml:space="preserve">تعریف مثل افلاطونی</w:t>
      </w:r>
    </w:p>
    <w:p>
      <w:pPr/>
      <w:r>
        <w:rPr>
          <w:rtl w:val="0"/>
          <w:lang w:val="fa-IR"/>
        </w:rPr>
        <w:t xml:space="preserve">آن حلقۀ رابط بین علم عنائى و وجودات خارجى به‌عنوان یک حقیقت کلیۀ مجرده را مثل افلاطون مى‏نامند؛ یعنى یک صورتى که آن صورت ـ به‌اصطلاح خودشان ـ معرّاى از شوائب مادى باشد و صرفاً در آنجا جنبۀ صورى لحاظ شده باشد که همان جنبۀ عینیت ازلى و عینیت ربوبى است، اگر بخواهد در آنجا ملاحظه شود طبعاً این صورت نمى‏تواند محدود به حدود و قیود عالم ماده باشد و این صورت نمى‏تواند صورتى باشد که همراه با خصوصیات و شوائب ماده باشد، این یک مسئله است.</w:t>
      </w:r>
    </w:p>
    <w:p>
      <w:pPr>
        <w:pStyle w:val="Heading6"/>
      </w:pPr>
      <w:r>
        <w:rPr>
          <w:rtl w:val="0"/>
          <w:lang w:val="fa-IR"/>
        </w:rPr>
        <w:t xml:space="preserve">تمایز بین انسان و حیوان و جمادات</w:t>
      </w:r>
    </w:p>
    <w:p>
      <w:pPr/>
      <w:r>
        <w:rPr>
          <w:rtl w:val="0"/>
          <w:lang w:val="fa-IR"/>
        </w:rPr>
        <w:t xml:space="preserve">مطلب دوم که مزید بر این دلیل است و این دلیل را تأیید مى‏کند این است که آنچه را که ما در خارج مشاهده مى‏کنیم حقایق جزئیۀ عینیۀ خارجیه است که اینها در میان مصادیق مختلفۀ خودشان یک مابه‌الاِشتراک دارند یعنى وقتى ملاحظه مى‏کنیم مى‏بینیم که افراد انسان، همۀ اینها انسان هستند و داراى خصوصیات انسانى از جنس و فصل هستند و این‌طور نیست که هر وجودى در خارج براى خودش یک حقیقت نوعیۀ مستقله باشد؛ یعنى فرض کنید همان‌طوری‌که شما بین انسان، حیوان، جماد، نبات و اقسام حیوانات فرق قائل مى‏شوید، این فرق قائل شدن به آن حیثت ذاتیۀ ماهویه برمى‏گردد یعنى ماهیت این افراد که عبارت از جنس و فصل باشد، یک اختلاف ذاتى دارد و اختلاف، اختلاف عرضى نیست و همین نفس اختلاف ذاتی، حقیقت نوعیه را با یک حقیقت نوعیۀ دیگر متمایز مى‏کند آن‌وقت در تحت همین حقیقت نوعیه، مصادیق </w:t>
      </w:r>
      <w:r>
        <w:rPr>
          <w:rStyle w:val="Arabi"/>
          <w:rtl w:val="0"/>
          <w:lang w:val="fa-IR"/>
        </w:rPr>
        <w:t xml:space="preserve">مختلفةٌ بِالأصناف</w:t>
      </w:r>
      <w:r>
        <w:rPr>
          <w:rtl w:val="0"/>
          <w:lang w:val="fa-IR"/>
        </w:rPr>
        <w:t xml:space="preserve"> را مشاهده مى‏کنید که این مصادیق همه در تحت یک حقیقت هستند.</w:t>
      </w:r>
    </w:p>
    <w:p>
      <w:pPr>
        <w:pStyle w:val="Heading6"/>
      </w:pPr>
      <w:r>
        <w:rPr>
          <w:rtl w:val="0"/>
          <w:lang w:val="fa-IR"/>
        </w:rPr>
        <w:t xml:space="preserve">عدم تعلق علم عنائى حق به تک‌تک اجزاء خارجى اولاً و بالذات</w:t>
      </w:r>
    </w:p>
    <w:p>
      <w:pPr/>
      <w:r>
        <w:rPr>
          <w:rtl w:val="0"/>
          <w:lang w:val="fa-IR"/>
        </w:rPr>
        <w:t xml:space="preserve">از اینجا استفاده مى‏شود که آن علم عنائى به تک‌تک اجزاء خارجى اولاً و بالذات تعلق نگرفته بلکه به یک واقعیت کلیۀ غیر مادیه تعلق گرفته است و ماهیت اولاً و بالذات در آن حیطه تشکیل شده است که حیوانیت و ناطقیت باشد، بعد آن حیوانیت و ناطقیت که در آن علم عنائى به این کیفیت ترسیم شده است، در عالم خارج به‌صورت وجودات مقیده ظهور پیدا مى‏کند چون آن حقیقت کلیه در خارج معنا ندارد که به کلیت و عینیت خود در خارج ظهور کند چون در خارج باید محدود به حدود امکانى و طبعى باشد. این محدودیت و مقید شدن به حدود امکانى و حدود مادى نمى‏تواند با کیفیت کلى و اطلاقى همان صورت جور دربیاید و باهم تلائم داشته باشند لذا باید یک صورت کلى داشت و بعد آن صورت کلى به این کیفیت دربیاید و در همۀ مسائل و اشیاء به همین کیفیت است.</w:t>
      </w:r>
    </w:p>
    <w:p>
      <w:pPr>
        <w:pStyle w:val="Heading6"/>
      </w:pPr>
      <w:r>
        <w:rPr>
          <w:rtl w:val="0"/>
          <w:lang w:val="fa-IR"/>
        </w:rPr>
        <w:t xml:space="preserve">ذکر یک مثال برای تفهیم مُثل افلاطونی</w:t>
      </w:r>
    </w:p>
    <w:p>
      <w:pPr/>
      <w:r>
        <w:rPr>
          <w:rtl w:val="0"/>
          <w:lang w:val="fa-IR"/>
        </w:rPr>
        <w:t xml:space="preserve">یک مهندس وقتى که مى‏خواهد نقشۀ ساختمان را بکشد ـ از باب تشبیه مى‏گویم ـ اول باید یک مثل افلاطونى در ذهن خود داشته باشد که بخواهد براساس آن، نقشۀ ساختمان‏ را دربیاورد مثلاً بِنایى که مى‏خواهد ترسیم کند، باید بنایی باشد که در آن چهاردیوارى، اتاق‌ها، هال، آشپزخانه، سالن، سقف، پله و اینها باشد، این مسئله من‌حیث‌المجموع مَثَل و مثالى از آن خصوصیات افراد خارجیه و جزئیاتى است که آنها باهم فرق مى‏کنند. حالا که این به‌عنوان یک صورت کلى و معرّاى از ماده در ذهن او هست، مى‏تواند هزارتا نقشه از این پیاده کند! فرض کنید که یک نقشه می‌کشد که آشپزخانه آن‌طرف است و دستشویى و سرویس این‌طرف است و یک نقشه مى‏کشد که آشپزخانه آن‌طرف و اتاق این‌طرف باشد و یک نقشه مى‏کشد که سالن این‌طرف باشد و ...، می‌تواند هزاران هزار بنا و جزئى خارجى از همان ایدۀ کلى و صورت کلى استخراج کند، اسم این را مثل افلاطونی مى‏گذارند.</w:t>
      </w:r>
    </w:p>
    <w:p>
      <w:pPr/>
      <w:r>
        <w:rPr>
          <w:rtl w:val="0"/>
          <w:lang w:val="fa-IR"/>
        </w:rPr>
        <w:t xml:space="preserve">پس ببیند این مسئله چقدر راحت قابل ترسیم است که از آنجایى که ما مشاهده مى‏کنیم اشیاء خارجى و جزئیات خارجى در عین اختلاف و تمایزشان با یکدیگر، در همان ماهیت مشترکه با همدیگر اشتراک دارند، از اینجا متوجه مى‏شویم که باید یک اصل اوّلى در رأس و فوق تمام این جزئیات خارجى وجود داشته باشد و ارادۀ ازلى در خلق جزئیات خارجى منطبق بر آن اصل کلى باشد. فرض کنید وقتى که ارادۀ پروردگار بر خلقت انسان است نمى‏تواند خارج از آن اصل که حیوانیت و ناطقیت باشد یک انسانی درست کند که با حیوانیت و ناهقیت باشد. البته ظاهراً بر خلاف این، اتفاق افتاده است!! مسائلى را که آدم مى‏بیند، [انگار] گاهى اوقات استثناهایى در خلقت مى‏شود! البته گاهى اوقات استثناء بیشتر از مستثنى‌منه مى‏شود!! گاهى اوقات! مى‏گویند: از نظر ادبى مستثنى باید اقلّ از مستثنى‏منه باشد، فرض کنید این مثالى که ادبا مى‏زنند و مى‏گویند: </w:t>
      </w:r>
      <w:r>
        <w:rPr>
          <w:rStyle w:val="Arabi"/>
          <w:rtl w:val="0"/>
          <w:lang w:val="fa-IR"/>
        </w:rPr>
        <w:t xml:space="preserve">جاء القوم إلاّ حماراً</w:t>
      </w:r>
      <w:r>
        <w:rPr>
          <w:rtl w:val="0"/>
          <w:lang w:val="fa-IR"/>
        </w:rPr>
        <w:t xml:space="preserve">، طبعاً افراد حمار از آن قوم کمتر است حالا اگر آن قوم بیشترشان حمار بودند چطور مى‏شود؟! یکى دو نفر ته قضیه مى‏ماند! این صحیح نیست یعنى به‌کار بردن این جمله از نظر ادبی صحیح نیست ولی خب گاهى اوقات آدم مى‏بیند مثل اینکه افراد حمار از افراد قوم بیشتر هستند! علیٰ‌کلّ‌حال این ارادۀ ازلی ...</w:t>
      </w:r>
    </w:p>
    <w:p>
      <w:pPr>
        <w:pStyle w:val="Heading6"/>
      </w:pPr>
      <w:r>
        <w:rPr>
          <w:rtl w:val="0"/>
          <w:lang w:val="fa-IR"/>
        </w:rPr>
        <w:t xml:space="preserve">نشانه‌های مردانگی</w:t>
      </w:r>
    </w:p>
    <w:p>
      <w:pPr/>
      <w:r>
        <w:rPr>
          <w:rtl w:val="0"/>
          <w:lang w:val="fa-IR"/>
        </w:rPr>
        <w:t xml:space="preserve">امیرالمؤمنین می‌فرماید: «</w:t>
      </w:r>
      <w:r>
        <w:rPr>
          <w:rStyle w:val="RevayatArabi"/>
          <w:rtl w:val="0"/>
          <w:lang w:val="fa-IR"/>
        </w:rPr>
        <w:t xml:space="preserve">یا أشباه الرجال و لا رجال</w:t>
      </w:r>
      <w:r>
        <w:rPr>
          <w:rtl w:val="0"/>
          <w:lang w:val="fa-IR"/>
        </w:rPr>
        <w:t xml:space="preserve"> ...»</w:t>
      </w:r>
      <w:r>
        <w:rPr>
          <w:rStyle w:val="FootnoteReference"/>
        </w:rPr>
        <w:footnoteReference w:id="2"/>
      </w:r>
      <w:r>
        <w:rPr>
          <w:rtl w:val="0"/>
          <w:lang w:val="fa-IR"/>
        </w:rPr>
        <w:t xml:space="preserve"> یعنى فقط قیافه و بعضی از مسائل دیگر شما به مردها مى‏خورد! ولیکن آنچه را از مردى که عبارت از تعقل، تفکر، تأمل و آثار مردانگى و حریت است، یوخدی؛</w:t>
      </w:r>
      <w:r>
        <w:rPr>
          <w:rStyle w:val="FootnoteReference"/>
        </w:rPr>
        <w:footnoteReference w:id="3"/>
      </w:r>
      <w:r>
        <w:rPr>
          <w:rtl w:val="0"/>
          <w:lang w:val="fa-IR"/>
        </w:rPr>
        <w:t xml:space="preserve"> ندارید! خب این مسئله در اینجا باید مورد توجه قرار بگیرد که اگر آن اراده و مشیت بر ایجاد و خلق زید و انسان است، دیگر نمى‏تواند فصل او را فصل دیگرى قرار بدهد! ادخال فصل دیگر غیر از فصل انسانیت که همان تصویر کلى و صورت و مثال کلى در علم عنائى نسبت به حقایق نوعیۀ متفاوته هست، این خروج زید از تحت دایرۀ انسانیت و ادخال او در تحت نوع دیگر است و به انسانیت برنمى‏گردد، به زید برنمى‏گردد.</w:t>
      </w:r>
    </w:p>
    <w:p>
      <w:pPr/>
      <w:r>
        <w:rPr>
          <w:rtl w:val="0"/>
          <w:lang w:val="fa-IR"/>
        </w:rPr>
        <w:t xml:space="preserve">بنابراین این دو جهت، گرچه در اینجا از جهت دوم اسمى آورده نشده و آنچه که هست فقط همان قسم اول است که مرحوم آخوند اشاره کرده‏اند ولى به نظر بنده قسم دوم و دلیل دوم هم مى‏تواند در این مسئله کمک کند و علت براى ترسیم بشود که وقتی مشاهده مى‏کنیم و مى‏بینیم همۀ موجودات و جزئیات خارجیه در تحت یک ماهیت باهم اشتراک دارند بنابراین در آن علم عنائى باید آن حقیقت مشترکه وجود داشته باشد تااینکه بر آن اساس جزئیات بخواهند دور آن محور شکل بگیرند و یکى این‌‌طوری و دیگری طور دیگر درنیاید، فرض کنید این‌طور نباشد که این یکی وقتى از شکم مادرش بیرون مى‏آید گریه کند و آن یکى از شکم مادرش که بیرون مى‏آید عرعر کند! اینکه نمى‏شود که دو نوع باشد و خلقت هم به هردو تعلق بر انسانیت گرفته باشد! در عین تعلق اراده بر انسانیت زید و انسانیت عمرو، ظهورات آنها به‌طورکلی با یکدیگر متفاوت است و کیفیت تعقل ـ او که اصلاً تعقل ندارد! ـ این به یک نحو است و تصورات ذهنى دارد و دیگری به نحو دیگرى تصورات ذهنى دارد.</w:t>
      </w:r>
    </w:p>
    <w:p>
      <w:pPr/>
      <w:r>
        <w:rPr>
          <w:rtl/>
          <w:lang w:val="fa-IR"/>
        </w:rPr>
        <w:t xml:space="preserve">علیٰ‌کلّ‌حال این مسئله هم مى‏تواند مسئلۀ مهمى در تشکل این فرضیه و صورت براى ایشان باشد. حالا ما کارى به وارد شدن به بحث نسبت به این مسئله نداریم و إن‌شاءالله از جلسۀ بعد راجع به این مطالبى که مرحوم آخوند در اینجا ذکر مى‏کنند طبق روال بحثى خودش جلو مى‏آییم و اشکالاتى که ممکن است به آن وارد بشود یا جواب‌هایى که ممکن است به این قضیه داده بشود [را بررسی می‌کنیم]. آنچه که مورد توجه است این است که در باب مثل افلاطونى، بزرگانى به اثبات این مسئله پرداخته‌اند و همان‌طوری‌که عرض کردم ما نمى‏توانیم به این راحتى از مطالب بزرگان بگذریم!</w:t>
      </w:r>
    </w:p>
    <w:p>
      <w:pPr/>
      <w:r>
        <w:rPr>
          <w:rtl w:val="0"/>
          <w:lang w:val="fa-IR"/>
        </w:rPr>
        <w:t xml:space="preserve">مثلاً در بحث گذشته اگر نظرتان باشد مرحوم شیخ شهاب ـ در نظرم هست همین اشکال مرحوم علامه را در اینجا در بحث امکان عرض کرده بودم ـ خودش اهل کشف معانى بودند و خلاصه باید روى مطالبشان حساب کرد و مسئله‏اى که مطرح کردند مسئلۀ خلافى نبوده است، از یک طرف ایشان مى‏فرمایند که تمام نفوس عبارت‌اند از إنیّت صرفه، از یک طرف اینها حقایق نوریه هستند و از طرف دیگر نور عبارت از یک حقیقت بسیطه است. وقتى شما اینها را باهم جمع کنید به‌دست مى‏آید که نفس آدمى و نفس بشر داراى ماهیت نیست بلکه یک حقیقت نوریۀ مجرده است که برحسب مراتب مختلفۀ در تشکیک، به مراتب متفاوتۀ از سعه و اطلاق محدودیت پیدا می‌کند، اطلاق دسترسى پیدا مى‏کند البته نه اطلاق کلى بلکه محدود نسبت به مادون خود، این یک مسئله‏اى است که ایشان مطرح مى‏کنند و مرحوم آخوند هم این مطلب را مى‏پذیرند.</w:t>
      </w:r>
      <w:r>
        <w:rPr>
          <w:rStyle w:val="FootnoteReference"/>
        </w:rPr>
        <w:footnoteReference w:id="4"/>
      </w:r>
    </w:p>
    <w:p>
      <w:pPr/>
      <w:r>
        <w:rPr>
          <w:rtl w:val="0"/>
          <w:lang w:val="fa-IR"/>
        </w:rPr>
        <w:t xml:space="preserve">خب اشکالی که در اینجا مرحوم علامه بر مرحوم شیخ شهاب وارد مى‏کنند این است که چطور ممکن است که شما بر یک حقیقت امکانیه حکم به ماهیت کنید و ماهیت را از او بردارید درحالى‌که شما اولاً خودتان اثبات امکان را بر آن حقیقت کردید و ماهیت از لوازم امکان است؟! بنابراین چه بخواهید و چه نخواهید باید براى همین حقایق نوریه یک ماهیت امکانیه تصور کنید که آن ماهیت امکانیه در اینجا بتواند قابلیت صفت امکان را داشته باشد. شما دیگر در اینجا نمى‏توانید بگویید که اینها ماهیت ندارند و اینها حقایق نوریۀ بسیطه هستند.</w:t>
      </w:r>
    </w:p>
    <w:p>
      <w:pPr/>
      <w:r>
        <w:rPr>
          <w:rtl w:val="0"/>
          <w:lang w:val="fa-IR"/>
        </w:rPr>
        <w:t xml:space="preserve">سؤال ما از مرحوم علامه این است که شما در باب قاعدۀ علیت و معلولیت چه مى‏فرمایید؟ آیا معلول را داخل در موارد متصفۀ به امکان مى‏دانید یااینکه نه؟ ما که دو چیز نداریم، ما یا امکان داریم یا وجود داریم و یا امتناع، خب معلول که نمى‏شود نسبت به علت محکوم به امتناع باشد بنابراین از امتناع بیرون است. دو چیز مى‏ماند؛ یا واجب است یا ممکن است، واجب بالذات فقط ذات بارى است، معلول که نمى‏تواند واجب باشد اگر واجب هم بخواهد باشد وجوبش وجوب بالعرض است. وجوب بالعرض، وجوب را از ناحیۀ علت اکتساب مى‏کند و خودش فی‌حدّنفسه امکان دارد. تجلى علت موجب عروض معلول است، تجلى بکند معلول است و تجلى نکند معلول نیست خب </w:t>
      </w:r>
      <w:r>
        <w:rPr>
          <w:rStyle w:val="Arabi"/>
          <w:rtl w:val="0"/>
          <w:lang w:val="fa-IR"/>
        </w:rPr>
        <w:t xml:space="preserve">هذا نفس الإمکان</w:t>
      </w:r>
      <w:r>
        <w:rPr>
          <w:rtl w:val="0"/>
          <w:lang w:val="fa-IR"/>
        </w:rPr>
        <w:t xml:space="preserve">، پس شما برای این چه ماهیتی درنظر مى‏گیرید؟! شما که در اینجا مى‏فرمایید: معلول عبارت از نفس العلة در مرتبۀ مادون است، آیا مرتبۀ مادونى ماهیت درست مى‏کند؟! ماهیت درست نمى‏کند؛ یعنى شما آن حکمى را که روى علت کردید، همان حکمى که روى علت است روى معلول هم همین است منتها فقط یک رتبه پایین‌تر، زورش کمتر، قدرت او کمتر و اشتداد او کمتر است. فرض کنید که اوّلیت و اولویت آن در آنجا کمتر است و تقدم و تأخر فقط در اینجا مى‏آید و اینها همه لازمۀ علیت و معلولیت است. شما چه ماهیتى را براى معلول به‌واسطۀ تجلى علت تصور مى‏کنید که به‌واسطۀ آن ماهیت به او امکان مى‏دهید؟ در عین اینکه ما هیچ ماهیتى براى او تصور نمى‏کنیم درحالی‌که به او امکان مى‏گوییم و امکان این‌طور ...! هر چیزى که داراى ماهیت است، داراى امکان است لا بالعکس. این‌طور نیست که هر چیزى که متصف به وصف امکان است داراى ماهیت و متصف به ماهیت است! اشتباه مرحوم علامه در اینجا این است که امکان و ماهیت را متساوقین فرض کردند درحالی‌که لازمۀ ماهیت، اتصاف به امکان است اما این مسئله از این‌طرف نیست علیٰ‌کلّ‌حال عام و خاص مطلق است نه‌اینکه مسئله مسئلۀ تساوی باشد.</w:t>
      </w:r>
    </w:p>
    <w:p>
      <w:pPr/>
      <w:r>
        <w:rPr>
          <w:rStyle w:val="Arabi"/>
          <w:rtl w:val="0"/>
          <w:lang w:val="fa-IR"/>
        </w:rPr>
        <w:t xml:space="preserve">ربّ إمکانٍ لهُ ماهیةٌ و بعضُ الإمکانِ لیس لهُ ماهیةٌ و کلُّ ماهیةٍ له إمکانٌ</w:t>
      </w:r>
      <w:r>
        <w:rPr>
          <w:rtl w:val="0"/>
          <w:lang w:val="fa-IR"/>
        </w:rPr>
        <w:t xml:space="preserve">، بله! این مسئله به این کیفیت قابل حل است.</w:t>
      </w:r>
      <w:r>
        <w:rPr>
          <w:rStyle w:val="Arabi"/>
          <w:rtl w:val="0"/>
          <w:lang w:val="fa-IR"/>
        </w:rPr>
        <w:t xml:space="preserve"> </w:t>
      </w:r>
      <w:r>
        <w:rPr>
          <w:rtl w:val="0"/>
          <w:lang w:val="fa-IR"/>
        </w:rPr>
        <w:t xml:space="preserve">لذا در مراتب وجودى و در آنهایى که ماهیت ندارند مثلاً در مورد اشتداد شما چه مى‏فرمایید؟ خورشید داراى ماهیت است و ماهیتش هم مشخص است، حالا ما کارى به ماهیت آن نداریم بلکه به همان نفس نور و به حقیقت نوریه کار داریم، حقیقت نوریه که متفاوت نیست! حقیقت نوریه چیست؟ یک حقیقت واحده است. آن حقیقت نوریه در یک مرتبه داراى این مقدار از اشتداد در فوتون‌هاى نورى است لذا دست شما را مى‏سوزاند، همان حقیقت نوریه در مرتبۀ دیگر وقتى از آن اشتداد فوتون‌هاى او کم مى‏شود دست شما را نمى‏سوزاند. چیزى به او اضافه نمى‏شود تا به‌واسطۀ اضافه شدن داراى ماهیت بشود، از اشتداد وجودى او کم مى‏شود و عدم که ماهیت نیست. عدم، عدم است. شما در ماهیت، ترکب جزئین را مى‏خواهید؛ شی‌ءٌ به‌اضافۀ شی‏ء دیگر، الآن در اینجا یک مرتبۀ وجودى به‌اضافۀ عدم مرتبۀ مافوق است و عدم مرتبه مافوق </w:t>
      </w:r>
      <w:r>
        <w:rPr>
          <w:rStyle w:val="Arabi"/>
          <w:rtl w:val="0"/>
          <w:lang w:val="fa-IR"/>
        </w:rPr>
        <w:t xml:space="preserve">لیس بِشی‏ءٍ</w:t>
      </w:r>
      <w:r>
        <w:rPr>
          <w:rtl w:val="0"/>
          <w:lang w:val="fa-IR"/>
        </w:rPr>
        <w:t xml:space="preserve">. شما با عدم نمی‌توانید ایجاد ماهیت کنید بلکه به‌وسیلۀ عدم رتبۀ مافوق مى‏توانید مرتبۀ جدیدى را با اشتداد مخصوص به خودش ایجاد کنید </w:t>
      </w:r>
      <w:r>
        <w:rPr>
          <w:rStyle w:val="Arabi"/>
          <w:rtl w:val="0"/>
          <w:lang w:val="fa-IR"/>
        </w:rPr>
        <w:t xml:space="preserve">و هو لیس‏ بماهیةٍ</w:t>
      </w:r>
      <w:r>
        <w:rPr>
          <w:rtl w:val="0"/>
          <w:lang w:val="fa-IR"/>
        </w:rPr>
        <w:t xml:space="preserve">.</w:t>
      </w:r>
    </w:p>
    <w:p>
      <w:pPr/>
      <w:r>
        <w:rPr>
          <w:rtl w:val="0"/>
          <w:lang w:val="fa-IR"/>
        </w:rPr>
        <w:t xml:space="preserve">بنابراین در حقایق نوریه همان‌طوری‌که نظر مرحوم آخوند و مرحوم شیخ اشراق است، ما در آنجا ماهیت نداریم بلکه اختلاف مراتب به اختلافِ در خود نحوۀ وجود و شدت و ضعف است. اگر شما اسم ماهیت را روی این مى‏گذارید، ما در اینجا اعتراضى نداریم یعنى اگر شما ماهیت را به این نحوه توسعه مى‏دهید بسیار خوب در اینجا دیگر از تقبل ماهیت به این نحو تحاشى نیست. ولى شما در اینجا قائل به ماهیت هستید و امکان را لازم و ملزوم براى ماهیت مى‏دانید، اینجا این اشکال پیش مى‏آید که ما حقایق خارجیۀ غیر ماهویه داریم درعین‌حال که متصف به امکان هستند. شما از آن صادر اول که بگیرید، ممکن‌الوجود است تا این ادنىٰ مراتبى که مراتب عالم ماده و شهادت است.</w:t>
      </w:r>
    </w:p>
    <w:p>
      <w:pPr/>
      <w:r>
        <w:rPr>
          <w:rtl w:val="0"/>
          <w:lang w:val="fa-IR"/>
        </w:rPr>
        <w:t xml:space="preserve">بنابراین روشن شد که اشکال مرحوم علامه در اینجا جایى ندارد، اشکال در جایى است که ممکن را مساوى با ماهیت بدانید درحالی‌که ممکن اعم است! حتى نمی‌توانید نسبت به صادر اول حکم به وجوب ذاتى بکنید. صادر اول یا عقل اول بنا بر اختلاف در اصطلاحات، گرچه اینها تجرد تامه دارند ولى بالأخره در مرتبۀ مفاض از علت اولىٰ هستند و این را نمى‏شود کارى کرد، حتى نسبت به صفات لاینفک از بارى که علم و قدرت ـ به استثناء حیات ـ و سایر صفات باشد، همۀ اینها داراى مراتب مادون مرتبۀ ذات هستند. چطور شما یک هم‌چنین مطلبى را مى‏فرمایید؟! پس باید بفرمایید که در آنجا علم اطلاقى حق هم دارای ماهیت است، بالأخره آن‌هم معلول است و معلول براى وجود بحت و بسیط و معلول برای نفس ذات است یعنى آثار ذات به آن حیثیت اقتدار و حیثیت علمى در ذات آن است، لولا ذات، علم مى‏خواهد به چه چیزی تعلق بگیرد؟! لولا نفس ذات، اقتدار مى‏خواهد به چه چیزی تعلق بگیرد؟! لولا ذات، رحمت و عطوفت که در مراتب صفتى است می‌خواهد به چه چیزی تعلق بگیرد؟! به‏ هیچ چیزی.</w:t>
      </w:r>
    </w:p>
    <w:p>
      <w:pPr/>
      <w:r>
        <w:rPr>
          <w:rtl w:val="0"/>
          <w:lang w:val="fa-IR"/>
        </w:rPr>
        <w:t xml:space="preserve">پس تمام اینها گرچه صفات لاینفک ذات هستند ولى در رتبۀ متأخر از ذات قرار دارند و تأخر رتبه جنبۀ معلولى به آنها مى‏دهد ولى درعین‌حال آن جنبۀ معلولى باعث تحقق و اتصاف به ماهیت نمى‏شود، آن از این نقطه‌نظر واجب است به وجوب ذات و بقا دارد به بقاى ذات.</w:t>
      </w:r>
    </w:p>
    <w:p>
      <w:pPr/>
      <w:r>
        <w:rPr>
          <w:rtl w:val="0"/>
          <w:lang w:val="fa-IR"/>
        </w:rPr>
        <w:t xml:space="preserve">بنابراین این نکته که بزرگانى مانند شیخ اشراق، مرحوم میرفندرسک، مرحوم آخوند و مرحوم حاجى سبزوارى در مقام اثبات این مسئله برآمدند، ما باید ریشۀ این مسئله را به‌دست بیاوریم که چه انگیزه‏اى براى طرح این مسئله بود؟! البته به همان دیدگاه اولیّه و ابتدائیه، خب ممکن است مسئله قابل نقاش و قابل نقد باشد که چه دلیلى داریم بر اینکه حتماً... چون جزئیات خارجیه همه به یک صورت و به یک شکل در مابه‌الاِشتراک سهیم هستند بنابراین باید یک حقیقت نوعیۀ معرّاى از ماده داشته باشیم، حتى معرّاى از صورت! چون فرض کنید هر صورتی که یک مهندس براى خلق نقشه‏هاى متعدد در ذهن خودش نقش مى‏کند چه صورتى دارد؟ اصلاً صورت ندارد. شما بگویید چه صورتی است؟ مى‏توانید تصور کنید این چه صورتى است که یک نفر در ذهن خودش آن صورت را بپروراند و در ذهن خودش ترسیم کند و به‌واسطۀ آن صورت نقشۀ خارجى را ایجاد کند؟ این چه شکلى است؟ اصلاً معنا ندارد که شکل داشته باشد؛ درعین‌حال که قطعاً در پرداخت این نقشۀ خارجى آن صورت اولیّه دخالت دارد و شکى در این نیست. اگر دخالت نداشته باشد، به‌جاى صورت یک منزل صورت یک طویله در خارج نشان مى‏دهد یا صورت یک کارخانه [را نشان می‌دهد] درحالی‌که کارخانه با آن بنا تفاوت دارد، کارخانه دو دیوار دارد که این‌طرف است و یک آهن و حلبى [به‌عنوان شیروانى] روی آن می‌اندازند و این کارخانه می‌شود، چیز دیگری ندارد [البته] دستگاه هم می‌آورند و می‌گذارند.</w:t>
      </w:r>
    </w:p>
    <w:p>
      <w:pPr/>
      <w:r>
        <w:rPr>
          <w:rtl w:val="0"/>
          <w:lang w:val="fa-IR"/>
        </w:rPr>
        <w:t xml:space="preserve">یا فرض کنید که به‌جای‏ صورت یک بنا، صورت یک سد را تشکیل بدهد درصورتى‌که مطلب به این کیفیت نیست. او در نقشه و خطوطى که مى‏کشد، از آن صورت اول در ذهن خود بهره مى‏گیرد و از آن استفاده مى‏کند، حالا شما به من بگویید که این صورت چه شکلى است؟ اتاقش کجاست؟ دستشویى آن کجاست؟ هالش کجا است؟ اتاق ندارد، دستشویى ندارد، هالش شکل ندارد، یک هال کلى در ذهن او هست، یک اتاق کلى در ذهن او هست، یک مطبخ کلى در ذهن او هست، فقط یک پله و وسایل کلى در ذهن او هست ولى آن پله چند سانت است؟ یک متر است؟ نه. دو متر است؟ نه. آن پله متر و اندازه ندارد، اتاق اندازه ندارد، درعین‌حال این صورت کلى در ذهن او هست و در آن خطوطى که بر روى کاغذ مى‏کشد نقش اساسى دارد، اسم آن را مثل افلاطونی مى‏گذارند.</w:t>
      </w:r>
    </w:p>
    <w:p>
      <w:pPr/>
      <w:r>
        <w:rPr>
          <w:rtl w:val="0"/>
          <w:lang w:val="fa-IR"/>
        </w:rPr>
        <w:t xml:space="preserve">بنابراین در هر چیزى که در این عالم تصور کنید امثال اجناس و انواع، فرض کنید برنج را [درنظر بگیریم]، ممکن است ده‌ها نوع برنج داشته باشیم و هرکدام از اینها یک بو و طعم و عطر خاصی داشته باشند و نسبت به آب و هوا و خصوصیات، خصوصیات خاصى را داشته باشند و قیمت‌هاى آنها هم متفاوت باشد، آثار آنها هم متفاوت باشد و فواید آنها هم متفاوت باشد ولى همۀ آنها در این اسم شریک هستند و اتصاف دارند، آن اسمی که این‌قدر قدرت دارد که بتواند بر هرکدام از جزئیات </w:t>
      </w:r>
      <w:r>
        <w:rPr>
          <w:rStyle w:val="Arabi"/>
          <w:rtl w:val="0"/>
          <w:lang w:val="fa-IR"/>
        </w:rPr>
        <w:t xml:space="preserve">مختلفةٌ بالأصناف</w:t>
      </w:r>
      <w:r>
        <w:rPr>
          <w:rtl w:val="0"/>
          <w:lang w:val="fa-IR"/>
        </w:rPr>
        <w:t xml:space="preserve"> به تمام معنى الکلمه و بدون ذرةٌ مثقالی صدق کند چیست و چه صورتى مى‏تواند داشته باشد؟ آن صورت ندارد، اگر صورت داشته باشد از این قدرت مى‏افتد و سقوط مى‏کند! اگر صورت داشته باشد دیگر آن کمال را ندارد! اگر صورت داشته باشد قابلیت اینکه یک شی‏ء بر او مصداق قرار بگیرد را ندارد! باید صورت نداشته باشد و در همۀ اشیاء خارجى این مسئله را مشاهده مى‏کنید و اینجاست که امثال این بزرگان به این مسئله معتقد شدند و حتى در آن اشعار که مرحوم میرفندرسک مى‏فرماید:</w:t>
      </w:r>
    </w:p>
    <w:p>
      <w:pPr>
        <w:pStyle w:val="She'rMatn"/>
      </w:pPr>
      <w:r>
        <w:rPr>
          <w:rtl w:val="0"/>
          <w:lang w:val="fa-IR"/>
        </w:rPr>
        <w:t xml:space="preserve">چرخ با این اختران نغز و خوش و زیباستی *** صورتی در زیر دارد آنچه در بالاستی</w:t>
      </w:r>
    </w:p>
    <w:p>
      <w:pPr>
        <w:pStyle w:val="She'rMatn"/>
      </w:pPr>
      <w:r>
        <w:rPr>
          <w:rtl w:val="0"/>
          <w:lang w:val="fa-IR"/>
        </w:rPr>
        <w:t xml:space="preserve">صورت زیرین اگر از نردبان معرفت *** بر رود بالا همان با اصل خود یکتاستی</w:t>
      </w:r>
      <w:r>
        <w:rPr>
          <w:rStyle w:val="FootnoteReference"/>
        </w:rPr>
        <w:footnoteReference w:id="5"/>
      </w:r>
    </w:p>
    <w:p>
      <w:pPr/>
      <w:r>
        <w:rPr>
          <w:rtl w:val="0"/>
          <w:lang w:val="fa-IR"/>
        </w:rPr>
        <w:t xml:space="preserve">اشاره به همین است که آنچه که در این عالم هست ... لذا روایتى هم نقل شده است که هر شیء و وجودى که در این عالم ماده هست، یک صورت معنوى در عالم بالا دارد، حتى خروس که وقتى او مى‏خواند، اول آن خروس کلى ندا را بلند مى‏کند و به‌واسطۀ آن شما مى‏بینید که همه خروس‌ها در این عالم شهادت شروع به خواندن مى‏کنند؛</w:t>
      </w:r>
      <w:r>
        <w:rPr>
          <w:rStyle w:val="FootnoteReference"/>
        </w:rPr>
        <w:footnoteReference w:id="6"/>
      </w:r>
      <w:r>
        <w:rPr>
          <w:rtl w:val="0"/>
          <w:lang w:val="fa-IR"/>
        </w:rPr>
        <w:t xml:space="preserve"> یکى از آن خانه و یکی از آنجا و یکی از جای دیگر، این به‌خاطر آن مسئله است. البته شاید این قضیه هم توأم با مراتب شهود هم شده باشد و بدون هیچ چیزی هم نباشد.</w:t>
      </w:r>
    </w:p>
    <w:p>
      <w:pPr/>
      <w:r>
        <w:rPr>
          <w:rtl w:val="0"/>
          <w:lang w:val="fa-IR"/>
        </w:rPr>
        <w:t xml:space="preserve">یک وقتى من در احوال شهادت امام سجاد علیه‏السّلام مى‏خواندم که سعید بن مسیب که از اصحاب امام سجاد بود و مرد فقیهى هم بود و به او فقیه مدینه مى‏گفتند و عالم مدینه بود ولى خب شما ببینید که علىٰ‏کلّ‏حال گاهى انسان شَدُرسنا و خرابکارى هم مى‏کند! انسان خیلى باید متوجه باشد که به بیراهه نزند و خارج از آن حدودى که براى او ترسیم شده است قدم برندارد! علیٰ‌کلّ‌حال انسان اشتباهاتی می‌کند.</w:t>
      </w:r>
    </w:p>
    <w:p>
      <w:pPr/>
      <w:r>
        <w:rPr>
          <w:rtl w:val="0"/>
          <w:lang w:val="fa-IR"/>
        </w:rPr>
        <w:t xml:space="preserve">سعید بن مسیب مى‏گوید: من مدت‌ها بود دلم مى‏خواست در مسجد پیغمبر بروم و در حال خلوت و سکوت دو رکعت نماز دبش بخوانم؛ خلاصه با حضور قلب و بدون سروصدا و بدون ازدحام و اینها! هر وقتى که مى‏رفتم مى‏دیدم مسجد شلوغ است و مردم نشسته‌اند و قرآن و دعا مى‏خوانند و با همدیگر حرف مى‏زنند و صحبت مى‏کنند و خلاصه برای ما حالى نمى‏ماند که دو رکعت نماز بخوانیم و همۀ ملائکه را به استخدام بگیریم که بیایید نگاه کنید که من دارم دو رکعت نماز با حضور قلب مى‏خوانم! خلاصه مواظب باشید! نماز من را خوب به ملأ اعلی و بالا ببرید! خلاصه نلغزد و از دستتان بیفتد و تمام زحمات ما [به هدر برود]! نمازى که مى‏خوانیم ملائکه زیر آن را بگیرند و به بالا ببرند و یک وقتى از آن کم نشود و چیزى نشود! نمازى است که ما داریم مى‏خوانیم و در پیشگاه خداوند ایستاده‌ایم نه کسى دیگر! نماز ما کجا و نماز [دیگران کجا]؟! علیٰ‌کلّ‌حال خیال کرده‌اند کشک است!!</w:t>
      </w:r>
    </w:p>
    <w:p>
      <w:pPr/>
      <w:r>
        <w:rPr>
          <w:rtl w:val="0"/>
          <w:lang w:val="fa-IR"/>
        </w:rPr>
        <w:t xml:space="preserve">ایشان مى‏فرمایند که خلاصه ما این آرزو به دلمان بود تااینکه حضرت امام سجاد علیه‏السّلام به شهادت رسیدند و ما دیدیم مردم به تشییع جنازۀ امام سجاد رفتند و دیدیم که الآن وقتش است که ملائکه را به استخدام بیاوریم و برویم در مسجد مدینه دو رکعت نماز بخوانیم، از آن نمازها! از آن نمازهایى که پیغمبر هم نخوانده است! خلاصه ما این‌طوری هستیم و شوخى نداریم، در دلمان نگاه کنیم مى‏بینیم همین است! آنچه را که بزرگان به ما تعلیم دادند مفت به‌دست نیامده است، خلاصه قدر بدانیم! حالا این چه کسى بود؟! او را فقیه مدینه مى‏گفتند و از اصحاب امام سجاد علیه‏السّلام هم بود ولى میزان استفادۀ او از امام سجاد چقدر بود؟! همین‌قدر بود!</w:t>
      </w:r>
    </w:p>
    <w:p>
      <w:pPr>
        <w:pStyle w:val="Heading6"/>
      </w:pPr>
      <w:r>
        <w:rPr>
          <w:rtl w:val="0"/>
          <w:lang w:val="fa-IR"/>
        </w:rPr>
        <w:t xml:space="preserve">برخورد بزرگان و اولیا و ائمه علیهم‌السّلام با هر کسى بر طبق ظرفیت و قابلیت خودش</w:t>
      </w:r>
    </w:p>
    <w:p>
      <w:pPr/>
      <w:r>
        <w:rPr>
          <w:rtl w:val="0"/>
          <w:lang w:val="fa-IR"/>
        </w:rPr>
        <w:t xml:space="preserve">امام سجاد اصحاب دیگر هم داشت، از آن حسابى‏ها که هرکدامشان مى‏توانستند آسمان و زمین را به‌هم بریزند و درست کنند! از آنها هم داشت و این‌طور هم داشت. این بزرگان و اولیا و ائمه علیهم‌السّلام با هر کسى بر طبق ظرفیت خودش و بر طبق قبول و قابلیت خودش برخورد مى‏کردند و به‌اندازۀ سعۀ وجودى به او مى‏دادند. خب نظام همین است، نظام خلقت نباید دست بخورد و بزرگان هم باید براساس همین نظام سیر کنند.</w:t>
      </w:r>
    </w:p>
    <w:p>
      <w:pPr/>
      <w:r>
        <w:rPr>
          <w:rtl w:val="0"/>
          <w:lang w:val="fa-IR"/>
        </w:rPr>
        <w:t xml:space="preserve">خلاصه مى‏گفت: در مسجد مدینه آمدم و دیدم کسى نیست و همه رفتند و در اینجا براى سعید بن مسیب مکاشفه مى‏شود و بعداً هم خیلى تأسف مى‏خورد و بلند مى‏شود و به تشییع جنازه مى‏رود و شرکت مى‏کند، نمازش را مى‏خواند و بعد از نماز مى‏رود و خودش را مى‏رساند!</w:t>
      </w:r>
      <w:r>
        <w:rPr>
          <w:rStyle w:val="FootnoteReference"/>
        </w:rPr>
        <w:footnoteReference w:id="7"/>
      </w:r>
      <w:r>
        <w:rPr>
          <w:rtl w:val="0"/>
          <w:lang w:val="fa-IR"/>
        </w:rPr>
        <w:t xml:space="preserve"> خلاصه دستش گرفته مى‏شود. جالب اینجاست گفته است که وقتى مى‏خواستم نماز بخوانم دیدم که اول ملائکه از بالا تکبیر مى‏گویند و وقتى که تکبیر گفتند صداى تکبیر پایین بلند مى‏شود! یعنى مردم که به‌دنبال جنازۀ امام </w:t>
      </w:r>
      <w:r>
        <w:rPr>
          <w:rStyle w:val="Arabi"/>
          <w:rtl w:val="0"/>
          <w:lang w:val="fa-IR"/>
        </w:rPr>
        <w:t xml:space="preserve">لا إله إلا الله </w:t>
      </w:r>
      <w:r>
        <w:rPr>
          <w:rtl w:val="0"/>
          <w:lang w:val="fa-IR"/>
        </w:rPr>
        <w:t xml:space="preserve">یا </w:t>
      </w:r>
      <w:r>
        <w:rPr>
          <w:rStyle w:val="Arabi"/>
          <w:rtl w:val="0"/>
          <w:lang w:val="fa-IR"/>
        </w:rPr>
        <w:t xml:space="preserve">الله اکبر </w:t>
      </w:r>
      <w:r>
        <w:rPr>
          <w:rtl w:val="0"/>
          <w:lang w:val="fa-IR"/>
        </w:rPr>
        <w:t xml:space="preserve">مى‏گفتند، اول از بالا علیت افاضه مى‏شد و بعد مردم از پایین مى‏گفتند! حالا این مردم نمی‌دانند و دیگر خبر ندارند که از آن بالا دست‌کاری شده‏اند و از آن بالا در آنها تصرف شده است! اینها همه حساب دارد.</w:t>
      </w:r>
    </w:p>
    <w:p>
      <w:pPr>
        <w:pStyle w:val="Heading6"/>
      </w:pPr>
      <w:r>
        <w:rPr>
          <w:rtl w:val="0"/>
          <w:lang w:val="fa-IR"/>
        </w:rPr>
        <w:t xml:space="preserve">تعریف از شخصیت افلاطون</w:t>
      </w:r>
    </w:p>
    <w:p>
      <w:pPr/>
      <w:r>
        <w:rPr>
          <w:rtl w:val="0"/>
          <w:lang w:val="fa-IR"/>
        </w:rPr>
        <w:t xml:space="preserve">اینها همه چیزهایى است که انسان را به این مسائل نزدیک مى‏کند که خلاصه قضیه همین‌طوری نیست و یک خبرى آن بالا هست! افرادی مثل افلاطون هم که قائل‌اند بیخود حرف نمى‏زنند. افلاطون یک حکیم الهى بود و مردى بود که داراى مکاشفات علمیه بود و حتى مى‏گویند که از مکاشفات صوریه هم گذشته بود. مرحوم حاجى یا بزرگان دیگر که قائل به این مطالب هستند یک چیزى دیده‏اند و یک کشفى براى آنها حاصل شده است منتها باید این مسائل را پخته و قابل هضم کرد و از آن صورت ساذجیت ابتدائیه درآورد که بفهمند، والاّ همین‌طوری نیست! اینکه مرحوم میرفندرسکی مى‏فرماید:</w:t>
      </w:r>
    </w:p>
    <w:p>
      <w:pPr>
        <w:pStyle w:val="She'rMatn"/>
      </w:pPr>
      <w:r>
        <w:rPr>
          <w:rtl w:val="0"/>
          <w:lang w:val="fa-IR"/>
        </w:rPr>
        <w:t xml:space="preserve">صورت زیرین اگر از نردبان معرفت *** بر رود بالا همان با اصل خود یکتاستی</w:t>
      </w:r>
    </w:p>
    <w:p>
      <w:pPr/>
      <w:r>
        <w:rPr>
          <w:rtl w:val="0"/>
          <w:lang w:val="fa-IR"/>
        </w:rPr>
        <w:t xml:space="preserve">صورت زیرین یعنى همین عالم ماده، این اصل چیست که با اصل خود یکتاست؟! این اصل در اینجا چه حیثیتی دارد؟! چه ماهیتى دارد؟! چه خصوصیتى دارد که باعث شده است همۀ صورت‌هاى زیرین وقتی از این مرتبۀ معرفت [بالا بروند] یعنى وقتی بخواهد مراتب تجرد را طى کند ـ نردبان، نردبان تجرد است ـ و جنبۀ مادى در او حذف شود و به جنبه‏هاى صورى و مثالى بالاتر برود و به صورت محض و معرّا و بعد از صورت هم بگذرد و به معنا برسد؟ آنجا دیگر یک مسائلى است که محل حرف و محل بحث ما است که إن‌شاءالله به آنجا مى‏رسیم. اختلاف بین ما و مثل افلاطونى در آنجا براى رفقا مشهود خواهد شد که گرچه این مطالب ممکن است محل [مناقشه] باشد ولى همین‌طوری هم نیست! مسئله واقعیتى دارد.</w:t>
      </w:r>
    </w:p>
    <w:p>
      <w:pPr/>
      <w:r>
        <w:rPr>
          <w:rtl w:val="0"/>
          <w:lang w:val="fa-IR"/>
        </w:rPr>
        <w:t xml:space="preserve">یا فرض کنید وقتى شما مى‏بینید این خروس الآن در این موقعیت و در این وقت شروع به صیحه زدن و خواندن مى‏کند چه احساسى براى او پیدا شده است؟ چه قضیه‌ و چه فکر و چه تصورى براى او پیدا شده است که شروع به خواندن مى‏کند؟! چه اتصالى براى او پیدا شده است؟! یا وقتى که از بقیۀ حیوانات حرکاتى سر مى‏زند که حکایت از یک واقعۀ محتمل الوقوع و قریب الوقوع مى‏کند چه احساسى براى آنها پیدا مى‏شود که آن احساس براى ما پیدا نمى‏شود؟ اینها همه جهات اتصالى است که اینها به‌واسطۀ اتصالشان با همان حقیقت خودشان ـ نه با سایر مسائل و جاهاى دیگر ـ مى‏توانند به این مطالب دسترسى پیدا کنند.</w:t>
      </w:r>
    </w:p>
    <w:p>
      <w:pPr/>
      <w:r>
        <w:rPr>
          <w:rtl w:val="0"/>
          <w:lang w:val="fa-IR"/>
        </w:rPr>
        <w:t xml:space="preserve">یک وقتى یادم مى‏آید که مرحوم آقا ـ رضوان الله تعالی علیه ـ مى‏فرمودند که ما با یک بنده‌خدایى ـ الآن هم زنده است و معمم است و از ارحام است ـ بعد از نماز ظهر یا قبل از آن بود براى تشییع یکى از آشنایان ایشان که فوت کرده بود به بهشت‌زهرا رفتیم. او وسیله داشت و حرکت کردیم و باهم رفتیم. آن شخص که از اقربا بود رو به مرحوم آقا کرد و گفت: من جاى ماشین را درست مى‏کنم و مى‏آیم. از آمبولانس تشییع کردند و تا دم آنجایی که نماز می‌خوانند آوردند و ایشان هم نماز خواندند و دفن کردند و به همان جایى که محل قرار بود برگشتند و وقتى که برگشتند دیدند که او کناری نشسته و تفسیر </w:t>
      </w:r>
      <w:r>
        <w:rPr>
          <w:rtl w:val="0"/>
          <w:lang w:val="fa-IR"/>
        </w:rPr>
        <w:t xml:space="preserve">المیزان در</w:t>
      </w:r>
      <w:r>
        <w:rPr>
          <w:rtl w:val="0"/>
          <w:lang w:val="fa-IR"/>
        </w:rPr>
        <w:t xml:space="preserve"> دستش هست! گفتند که آقا شما چرا اینجا هستید و تشییع نیامدید؟! گفت که من گفتم که از فرصت استفاده کنم و مطالعه کنم! ایشان گفتند که آخر مطالعه [وقتی دارد]، هر چیزى جاى خودش را دارد!</w:t>
      </w:r>
    </w:p>
    <w:p>
      <w:pPr>
        <w:pStyle w:val="Heading6"/>
      </w:pPr>
      <w:r>
        <w:rPr>
          <w:rtl w:val="0"/>
          <w:lang w:val="fa-IR"/>
        </w:rPr>
        <w:t xml:space="preserve">استجلاب فیض به‌واسطۀ تشییع جنازه و عیادت مریض و صلۀ رحم</w:t>
      </w:r>
    </w:p>
    <w:p>
      <w:pPr/>
      <w:r>
        <w:rPr>
          <w:rtl w:val="0"/>
          <w:lang w:val="fa-IR"/>
        </w:rPr>
        <w:t xml:space="preserve">پیغمبر هم مى‏توانست در خانه‏اش بنشیند و مطالعه کند ولى بلند مى‏شود و در تشییع سعد بن معاذ و اصحاب شرکت می‌کند و در تشییع فاطمه بنت اسد شرکت مى‏کند و خودش داخل قبر می‌رود و مى‏فرماید که ملائکه در این تشییع به‌گونه‌ای حضور داشتند که من مى‏خواستم پایم را جایى نگذارم که ملائکه...!</w:t>
      </w:r>
      <w:r>
        <w:rPr>
          <w:rStyle w:val="FootnoteReference"/>
        </w:rPr>
        <w:footnoteReference w:id="8"/>
      </w:r>
      <w:r>
        <w:rPr>
          <w:rtl w:val="0"/>
          <w:lang w:val="fa-IR"/>
        </w:rPr>
        <w:t xml:space="preserve"> این‌قدر که ما بر این مسئله توصیه و تأکید داریم برای چیست؟! به‌خاطر این است که آن حال‌وهوای جنبه‏هاى معنوى را فراموش نکنیم که آنها در سعادت انسان هم نقش دارند و فقط به خواندن نیست! در مجلس امام حسین علیه‌السّلام هم باید رفت. از تفسیر </w:t>
      </w:r>
      <w:r>
        <w:rPr>
          <w:rtl w:val="0"/>
          <w:lang w:val="fa-IR"/>
        </w:rPr>
        <w:t xml:space="preserve">المیزان</w:t>
      </w:r>
      <w:r>
        <w:rPr>
          <w:rtl w:val="0"/>
          <w:lang w:val="fa-IR"/>
        </w:rPr>
        <w:t xml:space="preserve"> که دیگر بهتر نداریم ولى خواندن تفسیر </w:t>
      </w:r>
      <w:r>
        <w:rPr>
          <w:rtl w:val="0"/>
          <w:lang w:val="fa-IR"/>
        </w:rPr>
        <w:t xml:space="preserve">المیزان</w:t>
      </w:r>
      <w:r>
        <w:rPr>
          <w:rtl w:val="0"/>
          <w:lang w:val="fa-IR"/>
        </w:rPr>
        <w:t xml:space="preserve"> هم جا دارد! شب که مى‏خواهى به خانه بروى مطالعه کن یا روز که وقت مطالعه هست مطالعه کن. به‌خاطر تفسیر </w:t>
      </w:r>
      <w:r>
        <w:rPr>
          <w:rtl w:val="0"/>
          <w:lang w:val="fa-IR"/>
        </w:rPr>
        <w:t xml:space="preserve">المیزان</w:t>
      </w:r>
      <w:r>
        <w:rPr>
          <w:rtl w:val="0"/>
          <w:lang w:val="fa-IR"/>
        </w:rPr>
        <w:t xml:space="preserve"> نماز ظهر و عصرتان را ترک مى‏کنید؟! نه. نماز به‌جاى خود، مطالعه به جاى خود، روضۀ امام حسین علیه‏السّلام به جاى خود و رفتن به عیادت مریض هم به‌جاى خود! به عیادت مریض که مى‏روید با او مباحثات فلسفى و عرفانى که نمى‏کنید بلکه مى‏نشینید باهم مى‏گویید و مى‏خندید و مزاح مى‏کنید. آیا این مزاحى که الآن دارید با این مریض مى‏کنید کمتر است؟! وقتتان را هدر دادید؟! وقتتان ازبین رفت؟! یا وقتى که مى‏خواهید یک صلۀ رحم بکنید، شما خیال مى‏کنید که کارت بانک است و مى‏روید مى‏زنید و بعد برمی‌گردید؟! نه، این صلۀ رحم و عیادت مریض در منزل و بیمارستان استجلاب فیض مى‏کند! هر چیزى جاى خودش را دارد. تشییع جنازه استجلاب فیض مى‏کند! لذا این بیچارۀ بدبخت وقتى که در یک هم‌چنین تفکرى باشد نتیجۀ آن چیست؟ نتیجۀ آن </w:t>
      </w:r>
      <w:r>
        <w:rPr>
          <w:rStyle w:val="Arabi"/>
          <w:rtl w:val="0"/>
          <w:lang w:val="fa-IR"/>
        </w:rPr>
        <w:t xml:space="preserve">خَسرَ الدنیا و الآخرة</w:t>
      </w:r>
      <w:r>
        <w:rPr>
          <w:rtl w:val="0"/>
          <w:lang w:val="fa-IR"/>
        </w:rPr>
        <w:t xml:space="preserve"> است که شد! </w:t>
      </w:r>
      <w:r>
        <w:rPr>
          <w:rtl w:val="0"/>
          <w:lang w:val="fa-IR"/>
        </w:rPr>
        <w:t xml:space="preserve">﴿خَسِرَ ٱلدُّنۡيَا وَٱلۡأٓخِرَةَ ذَٰلِكَ هُوَ ٱلۡخُسۡرَانُ ٱلۡمُبِينُ﴾.</w:t>
      </w:r>
      <w:r>
        <w:rPr>
          <w:rStyle w:val="FootnoteReference"/>
        </w:rPr>
        <w:footnoteReference w:id="9"/>
      </w:r>
      <w:r>
        <w:rPr>
          <w:rtl w:val="0"/>
          <w:lang w:val="fa-IR"/>
        </w:rPr>
        <w:t xml:space="preserve"> ببینید این طرز فکر، طرز فکرى است که انسان را از اتصال به جاذبه‏ها و بارقه‏ها باز مى‏دارد، مطلب این است.</w:t>
      </w:r>
    </w:p>
    <w:p>
      <w:pPr/>
      <w:r>
        <w:rPr>
          <w:rtl w:val="0"/>
          <w:lang w:val="fa-IR"/>
        </w:rPr>
        <w:t xml:space="preserve">یکى از دوستان ـ خدا رحمتش کند، فوت کردند ـ در یک وقت خیلى سابق می‌گفت؛ آن موقع من شش یا هفت ساله بودم که ایشان این حرف را زدند. گفت: یک روز جمعه داشتم به منزل مرحوم آقا مى‏رفتم. موقع بهار بود و خیلى هوای‏ خوبی بود. آن موقع طهران این‌طوری نبود که دود و فلان باشد خیلى جمعیت نداشت و جمعیت اندکی بود و هوا خیلى سالم بود. خلاصه مى‏گفت: صبح داشتم مى‏رفتم که اول غسل جمعه کنم و بعد پیش ایشان بروم. من پنج یا شش ساله بودم و منزل ما آن موقع در طهران میدان ژاله خیابان حریرچیان بود که الآن میدان شهدا شده است، آن موقع میدان ژاله مى‏گفتند. آنجا بود؛ زمانى بود که مرحوم آقا از نجف برگشته بودند. مى‏گفت: من که داشتم مى‏رفتم یک‌دفعه به این آقا برخورد کردم ـ همین آقا که به‌جاى تشییع، تفسیر </w:t>
      </w:r>
      <w:r>
        <w:rPr>
          <w:rtl w:val="0"/>
          <w:lang w:val="fa-IR"/>
        </w:rPr>
        <w:t xml:space="preserve">المیزان</w:t>
      </w:r>
      <w:r>
        <w:rPr>
          <w:rtl w:val="0"/>
          <w:lang w:val="fa-IR"/>
        </w:rPr>
        <w:t xml:space="preserve"> مى‏خواند! ـ البته شاید آن موقع هنوز تفسیر </w:t>
      </w:r>
      <w:r>
        <w:rPr>
          <w:rtl w:val="0"/>
          <w:lang w:val="fa-IR"/>
        </w:rPr>
        <w:t xml:space="preserve">المیزان </w:t>
      </w:r>
      <w:r>
        <w:rPr>
          <w:rtl w:val="0"/>
          <w:lang w:val="fa-IR"/>
        </w:rPr>
        <w:t xml:space="preserve">نوشته نشده بود یااینکه مثلاً مرحوم علامه مقدارى از آن را نوشته بودند. خدا ایشان را رحمت کند، چقدر مرحوم علامه مرد بزرگى بود. مى‏گفت: داری کجا مى‏روى؟! گفتم: دارم مى‏روم غسل جمعه کنم و بعد پیش آقا بروم. گفت: می‌خواهی غسل جمعه کنی؟! بعد سرش را بالا گرفت و نفس عمیقى کشید و گفت: به این درختان و ـ یک‌طوری هم حرف مى‏زد! ـ و این بلبلان و گنجشکان نگاه کن و ببین چه هوایی است! ببین چه صفایی است! آخر آدم بلند مى‏شود این هوا را بگذارد و به حمام گرم برود و غسل کند؟!</w:t>
      </w:r>
    </w:p>
    <w:p>
      <w:pPr/>
      <w:r>
        <w:rPr>
          <w:rtl w:val="0"/>
          <w:lang w:val="fa-IR"/>
        </w:rPr>
        <w:t xml:space="preserve">ببینید یکى چقدر باید پرت باشد! پس این غسل جمعه را براى چه موقعی آورده‏اند؟! براى زمستان و در برف آورده‏اند یا براى چلۀ تابستان آورده‏اند؟! غسل جمعه براى چه موقعی است؟! این غسل جمعه که حتى بعضى فتوای به وجوب دادند و به قول مرحوم آقا که می‌فرمودند: حداقل استحباب قریب به وجوب است، پس این براى چه موقعی است؟! گنجشککان و ...! این‌طور مى‏شود و بعد هم همان مى‏شود که عرض کردم </w:t>
      </w:r>
      <w:r>
        <w:rPr>
          <w:rStyle w:val="Arabi"/>
          <w:rtl w:val="0"/>
          <w:lang w:val="fa-IR"/>
        </w:rPr>
        <w:t xml:space="preserve">خسر الدنیا و الآخرة </w:t>
      </w:r>
      <w:r>
        <w:rPr>
          <w:rtl w:val="0"/>
          <w:lang w:val="fa-IR"/>
        </w:rPr>
        <w:t xml:space="preserve">می‌شود و بعد به کجا خواهد رسید را خدا مى‏داند! خدا دست همۀ ما را بگیرد. اینجاست که باید متوجه بشویم که قضیه چیست. هر چیزى حساب و جایگاه خودش را دارد و مطلب به‌دست بیاید!</w:t>
      </w:r>
    </w:p>
    <w:p>
      <w:pPr/>
      <w:r>
        <w:rPr>
          <w:rtl w:val="0"/>
          <w:lang w:val="fa-IR"/>
        </w:rPr>
        <w:t xml:space="preserve">خلاصه سعید بن مسیب تشییع جنازه‌ای را که جبرائیل می‌‌آید و در سرش‏ مى‏زند را نگاه نمى‏کند بلکه به این دو رکعت نماز نگاه مى‏کند که حالا مسجد مدینه خلوت شده و خوب مى‏توانم حضور قلب داشته باشم و خوب مى‏توانم سکوت خودم را در اینجا رعایت کنم! چقدر آدم باید ... البته خب دستش را گرفتند و به ته‌دیگش رسید! اگر مسافت را طی نکرد، به آن دو قدم آخر رسید! ائمه علیهم‌السّلام دست را مى‏گیرند. ولى خب علیٰ‌کلّ‌حال بین او و آن کسى که متوجه است، چقدر فرق و چقدر فاصله است؟! خدا دستمان را بگیرد.</w:t>
      </w:r>
    </w:p>
    <w:p>
      <w:pPr/>
      <w:r>
        <w:rPr>
          <w:rtl w:val="0"/>
          <w:lang w:val="fa-IR"/>
        </w:rPr>
        <w:t xml:space="preserve">واقعاً این فهم [چقدر مهم است]! همیشه مرحوم آقا ـ رضوان الله تعالی علیه ـ مى‏گفتند: فهم، فهم ایشان چقدر اضافه شده است؟! من وقتى که گاهى از قم به مشهد مى‏رفتم، وقتى که احوال رفقاى قم را مى‏پرسیدند فقط این سؤال را مى‏کردند که به فهم آنها چقدر اضافه شده است؟! خیلى عجیب بود! من هم مى‏گفتم: از [فهم] ما که بیشتر است! راستش را مى‏گفتم!</w:t>
      </w:r>
    </w:p>
    <w:p>
      <w:pPr/>
      <w:r>
        <w:rPr>
          <w:rtl w:val="0"/>
          <w:lang w:val="fa-IR"/>
        </w:rPr>
        <w:t xml:space="preserve">فهم را سید بحرالعلوم داشت! آدم بعضى چیزها را مى‏بیند [تعجب می‌کند]! سید بحرالعلوم دنبال تبلیغات نبود، دنبال جنجال نبود، به‌به! به‌به! دنبال بیا و بروها و ... نبود! ای ددم وای! از کجا به کجا رسیده‌ایم! همۀ افراد در مسجد کوفه نشسته‌اند ـ واقعاً از کجا به کجا رسیده‌ایم! خب حقش همین است، او سید بحرالعلوم است بالأخره گاریچى که نیست! باید هم یک هم‌چنین اوضاعى داشته باشد! ـ و منتظر نماز مغرب بودند و او دیر مى‏آید. چه کسانی نشسته بودند؟! قاطبۀ علماى نجف بودند نه طلبه‏هاى </w:t>
      </w:r>
      <w:r>
        <w:rPr>
          <w:rtl w:val="0"/>
          <w:lang w:val="fa-IR"/>
        </w:rPr>
        <w:t xml:space="preserve">سیوطى</w:t>
      </w:r>
      <w:r>
        <w:rPr>
          <w:rtl w:val="0"/>
          <w:lang w:val="fa-IR"/>
        </w:rPr>
        <w:t xml:space="preserve"> و</w:t>
      </w:r>
      <w:r>
        <w:rPr>
          <w:rtl w:val="0"/>
          <w:lang w:val="fa-IR"/>
        </w:rPr>
        <w:t xml:space="preserve"> امثله</w:t>
      </w:r>
      <w:r>
        <w:rPr>
          <w:rtl w:val="0"/>
          <w:lang w:val="fa-IR"/>
        </w:rPr>
        <w:t xml:space="preserve"> خوان! قاطبۀ علماى نجف امثال میرزاى قمى که در قم بود و بعد به نجف رفت، اینها نشسته بودند! مى‏آمدند و در صف‌ها می‌نشستند و لابد یک چیزى هم گیرشان مى‏آمد، بیخود که نمى‏آمدند! یک چیزی گیرشان مى‏آمد، حسابى دارد! بالأخره یک هم‌چنین امام جماعتى بى‏حساب و کتاب نیست! ایشان تا بخواهد از نجف بیاید دیر می‌کند و نیم ساعت از وقت نماز مى‏رود و نیم ساعت همۀ مؤمنین و علمای ریش‌سفید با عمامه نشسته‌اند، [می‌گویند:] نیامد نیامد، اى واى چه شده است ملائکه به‌هم ریخته‌اند! نماز [دیر شد]! سید دارد بعد از نیم ساعت با عصایش مى‏آید و مى‏خندد! سلام کرد و نشست و حالا آن خادم ـ اینها را که مرحوم آقا مى‏گفتند، حساب بود و حساب مى‏کردند! ـ براى او قلیان درست‏ کرده است! قضیۀ آن را برای رفقا گفته‏ام. دلش شکسته است که امشب دیر شده است. تا سید بحرالعلوم مى‏آید او هم از خجالت [پیش او] نمى‏آید. سید مى‏گوید: رفیقمان کجاست؟! بابا قلیانت را بیاور خسته هستیم! حالا خلق منتظر هستند! نیم ساعت که دیر کرد و نیم ساعت هم شروع به قلیان کشیدن کرد و شد یک ساعت! [می‌گوید:] مى‏نشینم، هر کسى مى‏خواهد پشت سر من نماز بخواند این‌طور است! اگر نمى‏خواهید، بلند شوید بروید خودتان بخوانید! من این هستم! این مهم است! آزاد بود، حر بود! سید بحرالعلوم نیازى به این دار و دستک و تئاتر بازى نداشت، حر و آزاد بود! من این هستم.</w:t>
      </w:r>
    </w:p>
    <w:p>
      <w:pPr/>
      <w:r>
        <w:rPr>
          <w:rtl w:val="0"/>
          <w:lang w:val="fa-IR"/>
        </w:rPr>
        <w:t xml:space="preserve">حالا آمده است و می‌گوید: چرا قلیان نیاوردی؟! خادم می‌گوید: گفتم که دیر شده است. [سید می‌گوید:] بیا بابا قلیان بکشیم. اصلاً به روى خودش نیاورد که من به‌خاطر تو مى‏کشم! این رندی است! مى‏گوید که من خسته هستم، بابا قلیانم را بیاور، عجب آدمى هستی! [خادم] مى‏گوید: تازه به‌جای طلبکار بدهکار هم شدیم! اصلاً حال‌وهوا را عوض مى‏کند و او را شنگول مى‏کند و با او حرف مى‏زند! مردم که نشسته بودند مى‏گفتند: قلیان کشیدنت دیگر چیست؟! نیم ساعت دیر کرده و تازه آقا به نطق هم افتاده است! وقتى که حسابی او را شنگول کرد، [نماز را خواند]! این یک دل شاد کردن، به همۀ آن‌ها مى‌ارزد! به همۀ آن! بحرالعلوم مطلب را گرفته بود و فهم را او پیدا کرده بود!</w:t>
      </w:r>
    </w:p>
    <w:p>
      <w:pPr/>
      <w:r>
        <w:rPr>
          <w:rtl w:val="0"/>
          <w:lang w:val="fa-IR"/>
        </w:rPr>
        <w:t xml:space="preserve">اینکه مرحوم آقا مى‏گویند که فهم چقدر است، [منظور] این است! چقدر فهم پیدا کرده بود؟! بحرالعلوم فهم پیدا کرده بود و مسئله دستش آمده بود و سرّ و رمز کار را به‌دست آورده بود لذا بحرالعلوم بود! خدا به داد ماها برسد.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۱، ص ۱۷۳.</w:t>
      </w:r>
    </w:p>
  </w:footnote>
  <w:footnote w:id="3">
    <w:p>
      <w:pPr>
        <w:pStyle w:val="FootnoteText"/>
      </w:pPr>
      <w:r>
        <w:rPr>
          <w:rStyle w:val="FootnoteReference"/>
        </w:rPr>
        <w:footnoteRef/>
      </w:r>
      <w:r>
        <w:t xml:space="preserve"> </w:t>
      </w:r>
      <w:r>
        <w:rPr>
          <w:rtl w:val="0"/>
          <w:lang w:val="fa-IR"/>
        </w:rPr>
        <w:t xml:space="preserve">. یوخ به ترکی: نیست، وجود ندارد. (محقق)</w:t>
      </w:r>
    </w:p>
  </w:footnote>
  <w:footnote w:id="4">
    <w:p>
      <w:pPr>
        <w:pStyle w:val="FootnoteText"/>
      </w:pPr>
      <w:r>
        <w:rPr>
          <w:rStyle w:val="FootnoteReference"/>
        </w:rPr>
        <w:footnoteRef/>
      </w:r>
      <w:r>
        <w:t xml:space="preserve"> </w:t>
      </w:r>
      <w:r>
        <w:rPr>
          <w:rtl w:val="0"/>
          <w:lang w:val="fa-IR"/>
        </w:rPr>
        <w:t xml:space="preserve">. جهت اطلاع بیشتر رجوع شود به</w:t>
      </w:r>
      <w:r>
        <w:rPr>
          <w:rtl w:val="0"/>
          <w:lang w:val="fa-IR"/>
        </w:rPr>
        <w:t xml:space="preserve"> الحکمة المتعالیة</w:t>
      </w:r>
      <w:r>
        <w:rPr>
          <w:rtl w:val="0"/>
          <w:lang w:val="fa-IR"/>
        </w:rPr>
        <w:t xml:space="preserve">، ج 2، ص 46.</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تحفة المراد</w:t>
      </w:r>
      <w:r>
        <w:rPr>
          <w:rtl w:val="0"/>
          <w:lang w:val="fa-IR"/>
        </w:rPr>
        <w:t xml:space="preserve">، شرح قصیدۀ میر فندرسکی، ص ٢١.</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شیخ صدوق، ص 279:</w:t>
      </w:r>
    </w:p>
    <w:p>
      <w:pPr>
        <w:pStyle w:val="FootnoteText"/>
      </w:pPr>
      <w:r>
        <w:rPr>
          <w:rStyle w:val="Arabi"/>
          <w:rtl w:val="0"/>
          <w:lang w:val="fa-IR"/>
        </w:rPr>
        <w:t xml:space="preserve">عنِ الأصبغِ بنِ نُباتة قال: جاء ابنُ الکوّاءِ إلى أمیرِ المُؤمِنین علیهِ السّلامُ فقال: یا أمیر المُؤمِنین و اللهِ إنّ فی کِتابِ اللهِ عزّوجلّ لآیةً قد أفسدت علیّ قلبی و شکّکتنی فی دینی فقال لهُ علیٌّ علیهِ السّلامُ ثکِلتک أُمُّک و عدِمتک و ما تِلک الآیةُ قال: قولُ اللهِ تعالى: </w:t>
      </w:r>
      <w:r>
        <w:rPr>
          <w:rtl w:val="0"/>
          <w:lang w:val="fa-IR"/>
        </w:rPr>
        <w:t xml:space="preserve">﴿وَٱلطَّيۡرُ صَٰٓفَّٰتٖ كُلّٞ قَدۡ عَلِمَ صَلَاتَهُۥ وَتَسۡبِيحَهُ﴾</w:t>
      </w:r>
      <w:r>
        <w:rPr>
          <w:rStyle w:val="FootnoteReference"/>
          <w:rtl w:val="0"/>
          <w:lang w:val="fa-IR"/>
        </w:rPr>
        <w:t xml:space="preserve">*</w:t>
      </w:r>
      <w:r>
        <w:rPr>
          <w:rStyle w:val="Arabi"/>
          <w:rtl w:val="0"/>
          <w:lang w:val="fa-IR"/>
        </w:rPr>
        <w:t xml:space="preserve"> فقال لهُ أمیرُ المُؤمِنین علیهِ السّلامُ: </w:t>
      </w:r>
      <w:r>
        <w:rPr>
          <w:rStyle w:val="RevayatArabi"/>
          <w:rtl w:val="0"/>
          <w:lang w:val="fa-IR"/>
        </w:rPr>
        <w:t xml:space="preserve">یا ابن الکوّاءِ إنّ الله تبارک و تعالى خلق الملائِکة فی صورٍ شتّى إلاّ أنّ لِلّهِ تبارک و تعالى ملکاً فی صورةِ دیکٍ أبحّ أشهب براثِنُهُ فی الأرضِ السّابِعةِ السُّفلى و عُرفُهُ مُثنًّى تحت العرشِ لهُ جناحانِ جناحٌ فی المشرِقِ و جناحٌ فی المغرِبِ واحِدٌ مِن نارٍ و آخرُ مِن ثلجٍ فإذا حضر وقتُ الصّلاةِ قام على براثِنِهِ ثُمّ رفع عُنُقهُ مِن تحتِ العرشِ ثُمّ صفق بِجناحیهِ کما تصفِقُ الدُّیوکُ فی منازِلِکُم</w:t>
      </w:r>
      <w:r>
        <w:rPr>
          <w:rStyle w:val="Arabi"/>
          <w:rtl w:val="0"/>
          <w:lang w:val="fa-IR"/>
        </w:rPr>
        <w:t xml:space="preserve"> الحدیث.»</w:t>
      </w:r>
    </w:p>
    <w:p>
      <w:pPr>
        <w:pStyle w:val="FootnoteText"/>
      </w:pPr>
      <w:r>
        <w:rPr>
          <w:rStyle w:val="Arabi"/>
          <w:rtl w:val="0"/>
          <w:lang w:val="fa-IR"/>
        </w:rPr>
        <w:t xml:space="preserve">*. سوره نور (24) آیه 41.</w:t>
      </w:r>
    </w:p>
    <w:p>
      <w:pPr>
        <w:pStyle w:val="FootnoteText"/>
      </w:pPr>
      <w:r>
        <w:rPr>
          <w:rStyle w:val="Arabi"/>
          <w:rtl/>
          <w:lang w:val="fa-IR"/>
        </w:rPr>
        <w:t xml:space="preserve">ترجمه: [آیا ندانسته ای که هر که در آسمان ‌ها و زمین است] و پرندگان بال گشوده، خدا را تسبیح می گویند؟! به یقین هر یک نماز و تسبیح خود را می داند؛ [و خدا به آنچه انجام می دهند داناست].»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ص ١١٧.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ج ۱، ص ۳۸4.</w:t>
      </w:r>
    </w:p>
  </w:footnote>
  <w:footnote w:id="9">
    <w:p>
      <w:pPr>
        <w:pStyle w:val="FootnoteText"/>
      </w:pPr>
      <w:r>
        <w:rPr>
          <w:rStyle w:val="FootnoteReference"/>
        </w:rPr>
        <w:footnoteRef/>
      </w:r>
      <w:r>
        <w:t xml:space="preserve"> </w:t>
      </w:r>
      <w:r>
        <w:rPr>
          <w:rtl w:val="0"/>
          <w:lang w:val="fa-IR"/>
        </w:rPr>
        <w:t xml:space="preserve">. سوره حج (22) آیه 11. </w:t>
      </w:r>
      <w:r>
        <w:rPr>
          <w:rtl w:val="0"/>
          <w:lang w:val="fa-IR"/>
        </w:rPr>
        <w:t xml:space="preserve">نور ملکوت قرآن</w:t>
      </w:r>
      <w:r>
        <w:rPr>
          <w:rtl w:val="0"/>
          <w:lang w:val="fa-IR"/>
        </w:rPr>
        <w:t xml:space="preserve">، ج 1، ص 286:</w:t>
      </w:r>
    </w:p>
    <w:p>
      <w:pPr>
        <w:pStyle w:val="FootnoteText"/>
      </w:pPr>
      <w:r>
        <w:rPr>
          <w:rtl w:val="0"/>
          <w:lang w:val="fa-IR"/>
        </w:rPr>
        <w:t xml:space="preserve">«هم در دنیا خسارت دیده است و هم در آخرت خسارت آورده است. و این است همان خسران آشکار.»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