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بیست و پنجم</w:t>
      </w:r>
    </w:p>
    <w:p>
      <w:pPr>
        <w:pStyle w:val="Heading5"/>
      </w:pPr>
      <w:r>
        <w:rPr>
          <w:rtl w:val="0"/>
          <w:lang w:val="fa-IR"/>
        </w:rPr>
        <w:t xml:space="preserve">رفع ابهامات مسئلۀ مُثل‏ افلاطونی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نسبت به مطالبى که در جلسات گذشته خدمت رفقا عرض شد طبعاً یک ابهاماتى باقى مى‏ماند که باید به آنها پرداخت و اینها مسائلى است که نه‌تنها بر پایۀ شهود بلکه بر پایۀ برهان هم استوار بوده است و صرفاً یک مسئلۀ ادعایى نبوده است و بلکه بر طبق موازین و ضروریات مستفادۀ از ضرورى، ـ نه به‌عنوان بدیهى بلکه به‌عنوان نتایج </w:t>
      </w:r>
      <w:r>
        <w:rPr>
          <w:rStyle w:val="Arabi"/>
          <w:rtl w:val="0"/>
          <w:lang w:val="fa-IR"/>
        </w:rPr>
        <w:t xml:space="preserve">واجِبُ الالتزام ـ</w:t>
      </w:r>
      <w:r>
        <w:rPr>
          <w:rtl w:val="0"/>
          <w:lang w:val="fa-IR"/>
        </w:rPr>
        <w:t xml:space="preserve"> نسبت به آن قواعد اصلى و اصیل فلسفى استوار شده است که در مسئلۀ اصالت وجود و مراتب تشکیک در وجود و قاعدۀ </w:t>
      </w:r>
      <w:r>
        <w:rPr>
          <w:rStyle w:val="Arabi"/>
          <w:rtl w:val="0"/>
          <w:lang w:val="fa-IR"/>
        </w:rPr>
        <w:t xml:space="preserve">الواحِدُ لا یَصدرُ مِنه إلاّ الواحِد</w:t>
      </w:r>
      <w:r>
        <w:rPr>
          <w:rtl w:val="0"/>
          <w:lang w:val="fa-IR"/>
        </w:rPr>
        <w:t xml:space="preserve">، خیلى به این مسائل تکیه شده است. مطالبی که عرض شد و سایر مبانى و مباحث در فلسفه، اثباتش دیگر نیازى به تحمل مئونۀ زائد ندارد مثلاً قاعدۀ علیت یا استعداد و فعلیت و اینها از مسائل </w:t>
      </w:r>
      <w:r>
        <w:rPr>
          <w:rStyle w:val="Arabi"/>
          <w:rtl w:val="0"/>
          <w:lang w:val="fa-IR"/>
        </w:rPr>
        <w:t xml:space="preserve">واضح البرهان</w:t>
      </w:r>
      <w:r>
        <w:rPr>
          <w:rtl w:val="0"/>
          <w:lang w:val="fa-IR"/>
        </w:rPr>
        <w:t xml:space="preserve"> هستند!</w:t>
      </w:r>
    </w:p>
    <w:p>
      <w:pPr>
        <w:pStyle w:val="Heading6"/>
      </w:pPr>
      <w:r>
        <w:rPr>
          <w:rtl w:val="0"/>
          <w:lang w:val="fa-IR"/>
        </w:rPr>
        <w:t xml:space="preserve">تأثیر مثل افلاطونى در کیفیت ادراک</w:t>
      </w:r>
    </w:p>
    <w:p>
      <w:pPr/>
      <w:r>
        <w:rPr>
          <w:rtl w:val="0"/>
          <w:lang w:val="fa-IR"/>
        </w:rPr>
        <w:t xml:space="preserve">روى این اصل نسبت به تأثیر مثل افلاطونى در کیفیت ادراک مسائلی گفته شده است که این قضیه به‌واسطۀ تغییر و تبدّل اعیان خارجى است! چون هرچه که دستخوش تغییر و تبدّل قرار مى‏گیرد، قابل زوال است و یک قاعده و مبناى کلى از آن به‌دست نمى‏آید و براى تصحیح وجود ذهنى و تصورات و تصدیقات ذهنیه چاره‏اى جز پذیرش یک حقیقت کلى ثابت و </w:t>
      </w:r>
      <w:r>
        <w:rPr>
          <w:rStyle w:val="Arabi"/>
          <w:rtl w:val="0"/>
          <w:lang w:val="fa-IR"/>
        </w:rPr>
        <w:t xml:space="preserve">لا یَتَغَیَّر</w:t>
      </w:r>
      <w:r>
        <w:rPr>
          <w:rtl w:val="0"/>
          <w:lang w:val="fa-IR"/>
        </w:rPr>
        <w:t xml:space="preserve"> نیست. این را به‌عنوان یکى از دستاوردهاى مهم مثل افلاطونى ذکر کرده‏اند که در این قضیه شیخ اشراق هم‏ تصریحات و اشاراتى دارد. من خیلى وقت قبل راجع به این مسئله مطالعاتى در کتب شیخ اشراق داشتم ولى الآن عبارات آن در ذهنم نیست. یکى از مسائلى که ایشان مطرح مى‏کنند همین بود؛ از نتایج اثبات مثل افلاطونی!</w:t>
      </w:r>
    </w:p>
    <w:p>
      <w:pPr>
        <w:pStyle w:val="Heading6"/>
      </w:pPr>
      <w:r>
        <w:rPr>
          <w:rtl w:val="0"/>
          <w:lang w:val="fa-IR"/>
        </w:rPr>
        <w:t xml:space="preserve">مجرد بودن حقایق ذهنیه</w:t>
      </w:r>
    </w:p>
    <w:p>
      <w:pPr/>
      <w:r>
        <w:rPr>
          <w:rtl w:val="0"/>
          <w:lang w:val="fa-IR"/>
        </w:rPr>
        <w:t xml:space="preserve">مطلبى که در اینجا به‌نظر مى‏رسد این است که قضیۀ مثل افلاطونى هیچ ارتباطى به وجود ذهنى ندارد و بلکه اصلاً دو مقولۀ خارج از یکدیگر هستند و انکار مثل افلاطونى به حقایق ذهنیه برنمى‏گردد، یا حقایق ذهنیه به اثبات مثل افلاطونى برنمى‏گردد. آنچه که ما باید در قضیۀ وجود ذهنى به آن ملتزم باشیم این است که حقایق ذهنیه وجودات مجرده هستند. همین! ما بیش از این مقدار نیازى به احضار دلیل براى وجود ذهنى نداریم یعنى خارج از همین قضیه.</w:t>
      </w:r>
    </w:p>
    <w:p>
      <w:pPr>
        <w:pStyle w:val="Heading6"/>
      </w:pPr>
      <w:r>
        <w:rPr>
          <w:rtl w:val="0"/>
          <w:lang w:val="fa-IR"/>
        </w:rPr>
        <w:t xml:space="preserve">کیفیت ارتباط دو تعیّن خارجى با یکدیگر</w:t>
      </w:r>
    </w:p>
    <w:p>
      <w:pPr/>
      <w:r>
        <w:rPr>
          <w:rtl w:val="0"/>
          <w:lang w:val="fa-IR"/>
        </w:rPr>
        <w:t xml:space="preserve">همان‌طوری‌که در جلسات گذشته عرض شد ارتباط دو تعیّن خارجى با یکدیگر فقط و فقط براساس علم و ادراک و شهود است و خود آن تعیّنات خارجى از نقطه‌نظر ظاهر هیچ ارتباطى با یکدیگر ندارند و ربط آنها ربط ادراکى و شعورى و علمى است و به‌واسطۀ آن، این اقتران و مصاحبت و معرفت حاصل مى‏شود. روى این جهت وقتى که ما به یک موجود به‌عنوان یک وجود جزئى یا یک وجود کلى نگاه کنیم فرقى در تحقق صورت ذهنى در ما ندارد؛ وقتى که یک صورت جزئیه در ذهن مى‏آید این صورت جزئیه عبارت از یک حقیقت جزئیۀ خارجیه است که علم و ادراک به نفس او مرتبط است یعنى به خود وجود او مرتبط است حالا چه آن وجود، وجود خارجى باشد بنا بر انکار وجود تجردى و مثالى براى او، یااینکه وجود تعلق به وجود مثالى بگیرد </w:t>
      </w:r>
      <w:r>
        <w:rPr>
          <w:rStyle w:val="Arabi"/>
          <w:rtl w:val="0"/>
          <w:lang w:val="fa-IR"/>
        </w:rPr>
        <w:t xml:space="preserve">کَما هوَ الصَحیح و الضابِطُ عِندَنا </w:t>
      </w:r>
      <w:r>
        <w:rPr>
          <w:rtl w:val="0"/>
          <w:lang w:val="fa-IR"/>
        </w:rPr>
        <w:t xml:space="preserve">که عبارت از همان وجود برزخی است. قضیۀ کلى یا غیر کلی در این قضیه نقشى ندارد و این به مثال منفصل او برمى‏گردد که آن مثال منفصل همان ربط مثال انسان با اوست و به‌واسطۀ آن ارتباط مثالى و صورت تجردى است که انسان نسبت به این موجود خارجى آشنایى و اطلاع پیدا مى‏کند. بنابراین آنچه که در صورت ذهنیه باید به او پرداخت و در وجود ذهنى باید به او التفات داشت حقیقتى است که با هر تعیّن خارجى باهم اقتران دارد و بالاتر از اقتران، معیت دارد و بالاتر از معیت، اتحاد دارد و بالاتر از اتحاد، علیت دارد.</w:t>
      </w:r>
    </w:p>
    <w:p>
      <w:pPr>
        <w:pStyle w:val="Heading6"/>
      </w:pPr>
      <w:r>
        <w:rPr>
          <w:rtl w:val="0"/>
          <w:lang w:val="fa-IR"/>
        </w:rPr>
        <w:t xml:space="preserve">فرق ارتباط کشفی با ارتباط حسی</w:t>
      </w:r>
    </w:p>
    <w:p>
      <w:pPr/>
      <w:r>
        <w:rPr>
          <w:rtl w:val="0"/>
          <w:lang w:val="fa-IR"/>
        </w:rPr>
        <w:t xml:space="preserve">اینهاست که باعث مى‏شود انسان نسبت به یک شی‏ء خارجى داراى وجود ذهنى بشود، من تا وقتى که چشمم را باز نکردم و در مقابل خود فردى را ندیدم هیچ‌گاه وجود ذهنى براى من حاصل نخواهد شد؛ حالا چه آن شخص خارجی، وجود خارجى داشته باشد یا نداشته باشد. باید در اینجا یک ارتباطى به‌وجود بیاید و این ارتباط یا ارتباط حسى و لمسى است همان‌طوری‌که در اعیان خارجى این‌گونه است یا ارتباط </w:t>
      </w:r>
      <w:r>
        <w:rPr>
          <w:rStyle w:val="Arabi"/>
          <w:rtl w:val="0"/>
          <w:lang w:val="fa-IR"/>
        </w:rPr>
        <w:t xml:space="preserve">مِن أول الأمر</w:t>
      </w:r>
      <w:r>
        <w:rPr>
          <w:rtl w:val="0"/>
          <w:lang w:val="fa-IR"/>
        </w:rPr>
        <w:t xml:space="preserve"> ارتباط کشفى باشد که این دیگر ارتباطى با ارتباط لمسى و حسى ندارد بلکه انسان از درون خود به این ربط مى‏رسد؛ حالا چشمش باز باشد یا بسته باشد، مى‏داند در جلوى او چه کسى هست. گوشش شنوا باشد یا ناشنوا باشد، صدا و الحان را مى‏شنود. لمسش، لمس آگاه باشد یا غیر آگاه باشد به اشیاء اطراف خود پى مى‏برد. این ارتباط را ارتباط کشفی مى‏گویند.</w:t>
      </w:r>
    </w:p>
    <w:p>
      <w:pPr/>
      <w:r>
        <w:rPr>
          <w:rtl w:val="0"/>
          <w:lang w:val="fa-IR"/>
        </w:rPr>
        <w:t xml:space="preserve">در این مسئله شکى وجود ندارد و اتفاق هم افتاده است؛ در یک مجلسی شخص نابینایى بود که اصلاً کور مادرزاد بود ولى یک حس غریبى داشت و بنده خودم این شخص را دیده بودم، به‌حسب عادى براى او اشیاء خارجى ممثل نبود ولى وقتى که در خود فرومى‏رفت و بعد از گذشت یک مدتى دقیقاً آنچه را که در مقابل او بود با تمام خصوصیات و جزئیاتش مى‏گفت. این قضیه چیست؟ اگر قرار بر این است که او چشمش بینا باشد دیگر تأمل کردن چه معنا دارد؟ اگر قرار بر این باشد که این تأمل، او را برساند بنابراین این از طریق حس نبوده است بلکه از طریق خود کشف بوده است؛ یعنى وقتى که به خود مراجعه مى‏کند آن مثال منفصل خود را که عبارت از همان صورت برزخی است یا مثال متصل خود را به مثال منفصل وقتى متصل کند در آن مثال منفصل حقایق همه موجود هستند و در آنجا دیگر کورى و کرى معنا ندارد، نقص در ادراک و اینها معنا ندارد. شخص کور این‌طور نیست که مثال او هم در آنجا کور باشد. نه! خدمت رفقا عرض کردم ـ این قضیه در عبارات اعلام خیلى باعث شبهات شده است ـ مثال در آنجا داراى مراتب متفاوتى است چون هرچه که در اینجا تحقق خارجى پیدا مى‏کند معلول علت مثالى خودش است. اگر در اینجا شخص أعمىٰ هست باید مثال او هم أعمىٰ باشد والاّ معنا ندارد که در اینجا شی‏ء تحقق پیدا کند؛ به عبارت دیگر هر چیزى که در اینجا هست قبل از توجه به آن تعیّن خارجی باید نظر به اصل و علت او برگردد، نه فقط به این صورتى که در اینجا مورد مشاهده است. اینجاست که ما مى‏بینیم تمام حقایق خارجیه و تعیّنیه به هر کیفیت که بخواهند بیایند باید آن صورت مثالى در آنها موجود باشد و صورت مثالى است که داراى إعمال و تصرف است.</w:t>
      </w:r>
    </w:p>
    <w:p>
      <w:pPr/>
      <w:r>
        <w:rPr>
          <w:rtl w:val="0"/>
          <w:lang w:val="fa-IR"/>
        </w:rPr>
        <w:t xml:space="preserve">آن نقاشى که الآن تابلوى بى نقش را در کنار خودش قرار داده و در یک منظره‏اى نشسته است و دارد مدام به آن منظره نگاه مى‏کند و خطوطى بر روى این تابلو مى‏کشد، هرکدام از این نگاه کردن‏ها نفس تصرف مثال است. دستش را که بالا مى‏برد و حرکت مى‏دهد تصرف مثال است. خطى که دارد مى‏کشد و نقشى که دارد به‌وجود مى‏آورد تصرف مثال است و این‌طور نیست که الآن شما ملاحظه کنید و بگویید که این یک تابلویى از قبل در عالم مثال بوده است و این الآن دارد به آن صورت خارجى مى‏دهد، نه‌خیر! این که الآن دارد به او صورت خارجى مى‏دهد عبارت از تصرف مثالى است که الآن دارد إعمال مى‏شود. این نکته، نکتۀ بسیار دقیقى است! یک وقت نگویید که پس با آنچه که شما قبلاً مى‏گفتید بر اینکه این حقایق خارجیه همه موجود هستند و انسان است که محجور و أعمىٰ از ادراک این حقایق خارجیه است، پس در اینجا با این جنبۀ علیت‏ مثال چطور این صحبت جور درمى‏آید؟! از یک طرف ما مدعى هستیم که نفس حقایق خارجیه در عالم مثال و برزخ وجودشان وجود ثابتات است و وجود ثابتات مشمول تدریجى الحصول</w:t>
      </w:r>
      <w:r>
        <w:rPr>
          <w:rStyle w:val="Arabi"/>
          <w:rtl w:val="0"/>
          <w:lang w:val="fa-IR"/>
        </w:rPr>
        <w:t xml:space="preserve"> </w:t>
      </w:r>
      <w:r>
        <w:rPr>
          <w:rtl w:val="0"/>
          <w:lang w:val="fa-IR"/>
        </w:rPr>
        <w:t xml:space="preserve">زمانیات نخواهد بود و از طرف دیگر خود تحقق اشیاء را در خارج، معلول آن واقعیت مثالى مى‏دانیم، چطور این قضیه باهم جور درمى‏آید؟</w:t>
      </w:r>
    </w:p>
    <w:p>
      <w:pPr/>
      <w:r>
        <w:rPr>
          <w:rtl w:val="0"/>
          <w:lang w:val="fa-IR"/>
        </w:rPr>
        <w:t xml:space="preserve">همان‌طوری‌که عرض کردم این مسئله به یک بینش و تأمل دقیق و عمیق نیاز دارد و وقتى که براى انسان روشن شد که تمام آنچه که در خارج و در اعیان خارجی وجود دارد تمام آنها براى خودشان وجود خارجى دارند، نه براى ما، به این مسئله هم مى‏رسیم که بنابراین هر چیزى را که داریم مشاهده کنیم که به‌طور تدریج حاصل مى‏شود، این تدریج در وجود ذهنى ما است نه در اصل و حقیقت خود او، اصل و حقیقت خود این شی‏ء خارج دیگر تدریج در او معنا ندارد. تدریج در دیدگاه ما است. فرض کنید در دیدگاه ما بحث بیست دقیقۀ قبل شروع شده و به بیست دقیقۀ بعد یا بیشتر ختم پیدا مى‏کند. از دیدگاه ما هر کلامى یک ابتدایى دارد و یک وسط و یک انتهایى دارد. از دیدگاه ما هر سخنى که برمى‏آید این سخن مسبوق به تفکر، اراده، انبعاث شوق و عزم جدى در خلق وجود لفظى است و متأخر از وجود نفسى است. تمام این مراتب در دیدگاه ما هست.</w:t>
      </w:r>
    </w:p>
    <w:p>
      <w:pPr/>
      <w:r>
        <w:rPr>
          <w:rtl w:val="0"/>
          <w:lang w:val="fa-IR"/>
        </w:rPr>
        <w:t xml:space="preserve">بنابراین در دیدگاه عوام تصور بر این است ـ حالا ما یک مقدارى بحث را به مرتبۀ بین عوام و بین آن مبناى دقیق قرار بدهیم ـ که مى‏گویند: آنچه که در خارج است فقط همین نفس حقایق لمسیه و مادیه است و چیزى غیر از این وجود ندارد. روى این جهت است آنهایی که ملتزم به یک مبانى هستند و خلاصه از اعتقادات دینى بهره دارند، یک پله پا را بالاتر مى‏گذارند و مى‏گویند: اگر مى‏خواهى براى خودت ثواب کسب کنی پول به فقیر بده، انفاق کن! اگر مى‏خواهى براى خودت تحصیل ثواب کنى نماز بخوان! یعنى عمل خارج، موجب ایجاد وجود مثالى است! ثواب که معنا ندارد مادى باشد بلکه عمل خارجى ما عمل مادى است! انفاق یک عمل مادى است که دست در جیب مى‏کنید و انفاق مى‏کنید و این یک عمل مادی مى‏شود و ثوابى که بر این مترتب است دیگر مادى نیست.</w:t>
      </w:r>
    </w:p>
    <w:p>
      <w:pPr>
        <w:pStyle w:val="Heading6"/>
      </w:pPr>
      <w:r>
        <w:rPr>
          <w:rtl w:val="0"/>
          <w:lang w:val="fa-IR"/>
        </w:rPr>
        <w:t xml:space="preserve">فعل خارجى مادى، موجب تحقق یک حقیقت مجردۀ مثالى</w:t>
      </w:r>
    </w:p>
    <w:p>
      <w:pPr/>
      <w:r>
        <w:rPr>
          <w:rtl w:val="0"/>
          <w:lang w:val="fa-IR"/>
        </w:rPr>
        <w:t xml:space="preserve">بنابراین فعل خارجى مادى موجب تحقق یک حقیقت مجردۀ مثالى شده است، این آن چیزى است که مردم مى‏فهمند و شاید هم یک مقدارى نسبت به این مسئله حق هم داشته باشند و از آن‌طرف ما این‌همه روایات و آیات قرآن داریم؛ </w:t>
      </w:r>
      <w:r>
        <w:rPr>
          <w:rtl w:val="0"/>
          <w:lang w:val="fa-IR"/>
        </w:rPr>
        <w:t xml:space="preserve">﴿مَنۡ عَمِلَ صَٰلِحٗا مِّن ذَكَرٍ أَوۡ أُنثَىٰ وَهُوَ مُؤۡمِنٞ فَلَنُحۡيِيَنَّهُۥ حَيَوٰةٗ طَيِّبَةٗ وَلَنَجۡزِيَنَّهُمۡ أَجۡرَهُم بِأَحۡسَنِ مَا كَانُواْ يَعۡمَلُونَ﴾</w:t>
      </w:r>
      <w:r>
        <w:rPr>
          <w:rStyle w:val="FootnoteReference"/>
        </w:rPr>
        <w:footnoteReference w:id="1"/>
      </w:r>
      <w:r>
        <w:rPr>
          <w:rtl w:val="0"/>
          <w:lang w:val="fa-IR"/>
        </w:rPr>
        <w:t xml:space="preserve"> یا در آیات و روایات دیگر این‌همه احکامى که مربوط به عبادات و مسائل اخلاقى و مسائل اجتماعى است تمام اینها انبعاث فعل است.</w:t>
      </w:r>
    </w:p>
    <w:p>
      <w:pPr/>
      <w:r>
        <w:rPr>
          <w:rtl w:val="0"/>
          <w:lang w:val="fa-IR"/>
        </w:rPr>
        <w:t xml:space="preserve">البته با نیت خالص و صفاى باطن [باشد که آن] براى خودش جا دارد اما صرف نیت در اینجا ملاک نیست یعنى همین‌که شخص بنشیند و بگوید: من برای چه انجام بدهم؟ من نیت مى‏کنم! نیت خیر ملاک نیست و معلوم می‌شود نیت خیر نداری چون اگر نیت داشته باشی دیگر همین‌طور در آنجا نمی‌نشینی!</w:t>
      </w:r>
    </w:p>
    <w:p>
      <w:pPr>
        <w:pStyle w:val="Heading6"/>
      </w:pPr>
      <w:r>
        <w:rPr>
          <w:rtl w:val="0"/>
          <w:lang w:val="fa-IR"/>
        </w:rPr>
        <w:t xml:space="preserve">علت لعن قاطبۀ بنی امیه در روایات</w:t>
      </w:r>
    </w:p>
    <w:p>
      <w:pPr/>
      <w:r>
        <w:rPr>
          <w:rtl w:val="0"/>
          <w:lang w:val="fa-IR"/>
        </w:rPr>
        <w:t xml:space="preserve">اگر حتى در همین روایات نگاه کنیم ـ در مباحث اصولیه و کلامیه این بحث مى‏آید ـ مى‏بینیم که در مباحث تجرّى خود روایات در اینجا آمدند و ائمه و مبانى ما مباحث وجود نفسى را بر مباحث وجود عینى و وجود خارجی مقدم کرده‏اند. مى‏گویند: «</w:t>
      </w:r>
      <w:r>
        <w:rPr>
          <w:rStyle w:val="RevayatArabi"/>
          <w:rtl w:val="0"/>
          <w:lang w:val="fa-IR"/>
        </w:rPr>
        <w:t xml:space="preserve">اللهم العن بنى امیة قاطبة لِأنَّهم رَضوا بِعملِ آبائِهم</w:t>
      </w:r>
      <w:r>
        <w:rPr>
          <w:rtl w:val="0"/>
          <w:lang w:val="fa-IR"/>
        </w:rPr>
        <w:t xml:space="preserve">»</w:t>
      </w:r>
      <w:r>
        <w:rPr>
          <w:rStyle w:val="FootnoteReference"/>
        </w:rPr>
        <w:footnoteReference w:id="2"/>
      </w:r>
      <w:r>
        <w:rPr>
          <w:rtl w:val="0"/>
          <w:lang w:val="fa-IR"/>
        </w:rPr>
        <w:t xml:space="preserve"> این به معناى چیست؟ اینکه بعد از دویست یا سیصد سال آمده است مگر نفس رضایت موجب ذنب است؟! ذنب را کسى انجام داد که تجهیز جیش و جنود براى قتل سیدالشهدا علیه‌السّلام کرد، اما فرض کنید کسى که «</w:t>
      </w:r>
      <w:r>
        <w:rPr>
          <w:rStyle w:val="RevayatArabi"/>
          <w:rtl w:val="0"/>
          <w:lang w:val="fa-IR"/>
        </w:rPr>
        <w:t xml:space="preserve">لِأنَّهم رَضوا بِعملِ آبائِهم»</w:t>
      </w:r>
      <w:r>
        <w:rPr>
          <w:rtl w:val="0"/>
          <w:lang w:val="fa-IR"/>
        </w:rPr>
        <w:t xml:space="preserve"> او که کارى انجام نداده بلکه در خانه‏اش نشسته است و دویست یا سیصد سال بعد آمده است درحالى‌که ما مى‏بینیم مسئله به این کیفیت است.</w:t>
      </w:r>
    </w:p>
    <w:p>
      <w:pPr>
        <w:pStyle w:val="Heading6"/>
      </w:pPr>
      <w:r>
        <w:rPr>
          <w:rtl w:val="0"/>
          <w:lang w:val="fa-IR"/>
        </w:rPr>
        <w:t xml:space="preserve">مکفی بودن نیت فعل خیر، درصورت عدم قدرت انجام آن</w:t>
      </w:r>
    </w:p>
    <w:p>
      <w:pPr/>
      <w:r>
        <w:rPr>
          <w:rtl w:val="0"/>
          <w:lang w:val="fa-IR"/>
        </w:rPr>
        <w:t xml:space="preserve">یا در روایات داریم: کسى که نیت حج داشته‏ باشد و موفق براى حج نشود خداوند به او ثواب حج را مى‏دهد یا شخصى که نیت خیر داشته باشد خداوند براى او ثوابش را مى‏دهد.</w:t>
      </w:r>
      <w:r>
        <w:rPr>
          <w:rStyle w:val="FootnoteReference"/>
        </w:rPr>
        <w:footnoteReference w:id="3"/>
      </w:r>
      <w:r>
        <w:rPr>
          <w:rtl w:val="0"/>
          <w:lang w:val="fa-IR"/>
        </w:rPr>
        <w:t xml:space="preserve"> این مسئله خیلى براى انسان موجب امیدوارى است که این‌قدر انسان به‌دنبال عمل ظاهر براى کسب ثواب نرود بلکه این در صورت امکان و تهیؤ شرایط خارجى است. حالا اگر برای کسى آن شرایط خارجى نیست، خب نیست که نیست، هم راحت‏تر است و هم دردسرش کمتر است.</w:t>
      </w:r>
    </w:p>
    <w:p>
      <w:pPr/>
      <w:r>
        <w:rPr>
          <w:rtl w:val="0"/>
          <w:lang w:val="fa-IR"/>
        </w:rPr>
        <w:t xml:space="preserve">طرف به مکه رفته بود و خلاصه خیلى داشت دعا مى‏کرد، گفت که خدایا به من ثروت بده! گفتند: ثروت مى‏خواهى چه‌کار؟! هر کسى اینجا دعا مى‏کند که خدایا چه کن و به ما بهشت بده و... تو دارى در اینجا مى‏گویى: خدایا ثروت بده! گفت: تو نمى‏دانى من چه دعایى دارم مى‏کنم! ـ حالا خیال کرد دارد چه‌کار مى‏کند، چه کشف سرّ مستترى کرده است! ـ گفت: من این ثروتى را که پیدا مى‏کنم مى‏خواهم در راه خدا خرج کنم! غافل از اینکه بدون اینکه دعا بکند صرفاً به‌خاطر آن نیتى که داشته به پایش مى‏نویسند، مگر این‌همه از بزرگان و اولیاء بودند گنج قارون داشتند تا به این مطالب رسیدند؟! نه، در نیت ایشان این است که اگر پول داشته باشد انفاق بکند، تمام شد! مثلاً اگر فقیرى را در خیابان مى‏بینید نیت می‌کنید تا دست در جیبتان مى‏کنید و مى‏بینید که پول ندارید، به پاى شما مى‏نویسند! همین‌که شما احساس مى‏کنید که شخص مریض است و دلتان براى او مى‏سوزد که اگر مکنت داشتم براى او کارى انجام مى‏دادم، تمام شد، براى شما یک ممرضیت و مساعدت با مریض را نوشتند!</w:t>
      </w:r>
    </w:p>
    <w:p>
      <w:pPr>
        <w:pStyle w:val="Heading6"/>
      </w:pPr>
      <w:r>
        <w:rPr>
          <w:rtl w:val="0"/>
          <w:lang w:val="fa-IR"/>
        </w:rPr>
        <w:t xml:space="preserve">ترتب ثواب به نفس اراده و عزم و اهتمام شخص نسبت به استدامۀ عمل</w:t>
      </w:r>
    </w:p>
    <w:p>
      <w:pPr/>
      <w:r>
        <w:rPr>
          <w:rtl w:val="0"/>
          <w:lang w:val="fa-IR"/>
        </w:rPr>
        <w:t xml:space="preserve">وقتى که این‌طور هست حالا دیگر چرا انسان بخواهد به‌دنبال مقدماتش بگردد؟! دیگر مقدمات در اینجا نتیجه ندارد، خود ذی‌المقدمه در اینجا براى انسان حاصل مى‏شود. این‌قدر مسئله دیگر سهل شده است، دستگاه خدا کار را سهل و آسان کرده است و اینجاست که انسان متوجه مى‏شود که این آثارى که بر اعمال بار شده است وقتى براى او [غیرقابل‌باور] مى‏آید این به چه معنایى است، یعنى چطور ممکن است که شخصى عمل انجام بدهد و ببیند این‌قدر براى او ثواب دارد؟ تمام اینها به نفس اراده و عزم و اهتمام او نسبت به استدامه و استمرار آن مسئله برمى‏گردد و تا جایى که آن نیت در وجود انسان هست خود آن نیت، آثار خارجى مثالى را مى‏زاید؛ همین‌طور مدام مى‏زاید مى‏زاید مى‏زاید! لذا مى‏گویند:</w:t>
      </w:r>
    </w:p>
    <w:p>
      <w:pPr>
        <w:pStyle w:val="NaghlegholMatn"/>
      </w:pPr>
      <w:r>
        <w:rPr>
          <w:rStyle w:val="RevayatArabi"/>
          <w:rtl w:val="0"/>
          <w:lang w:val="fa-IR"/>
        </w:rPr>
        <w:t xml:space="preserve">کم مِن صائِمٍ لَیسَ لَهُ مِن صیامِهِ إلّا الجوعُ و الظَّمَأُ و کم مِن قائِمٍ لَیسَ لَهُ مِن قیامِهِ إلّا السَّهَرُ و العَناء حَبَّذا نَومُ الأکیاسِ و إفطارُهُم.</w:t>
      </w:r>
      <w:r>
        <w:rPr>
          <w:rStyle w:val="FootnoteReference"/>
        </w:rPr>
        <w:footnoteReference w:id="4"/>
      </w:r>
    </w:p>
    <w:p>
      <w:pPr/>
      <w:r>
        <w:rPr>
          <w:rtl w:val="0"/>
          <w:lang w:val="fa-IR"/>
        </w:rPr>
        <w:t xml:space="preserve">به‌به بزنید برویم دیگر! نه روزه و نه فلان! ما هم جزو اکیاس هستیم دیگر! نیستیم؟! حالا شما نگاه کنید ببینید این آقاى مقدس مى‏گوید: در ماه رمضان با اینکه روزه بر من جایز نیست ولى من باید روزه را بگیرم تا به دلم بنشیند! این خلاف است! یااینکه افرادى که برخلاف تکلیف کارى را انجام می‌دهند تااینکه به دلشان بنشیند درحالى‌که براى آنها ضرر دارد همۀ اینها خروج از تحت عبودیت است! مولا مى‏گوید: الآن وضو براى تو ضرر دارد، من مى‏گویم: در عین اینکه ضرر دارد داشته باشد من باید وضو بگیرم تا نماز بخوانم! اینها همه خروج از عبودیت است!</w:t>
      </w:r>
    </w:p>
    <w:p>
      <w:pPr>
        <w:pStyle w:val="Heading6"/>
      </w:pPr>
      <w:r>
        <w:rPr>
          <w:rtl w:val="0"/>
          <w:lang w:val="fa-IR"/>
        </w:rPr>
        <w:t xml:space="preserve">معنای عبودیت!</w:t>
      </w:r>
    </w:p>
    <w:p>
      <w:pPr/>
      <w:r>
        <w:rPr>
          <w:rtl w:val="0"/>
          <w:lang w:val="fa-IR"/>
        </w:rPr>
        <w:t xml:space="preserve">عبودیت یعنى خارج شدن از اختیار و ارادۀ خود، خروج از ابراز و اظهار سلیقۀ شخصی، این معناى عبودیت است! مطلبى در جلسات قبل ـ در جلسۀ خانم‌ها بود ـ گفتم: زن به مکه مى‏رود [آقا غیرتی می‌شود]، مگر خدا از غیرت بدش مى‏آید این‌همه راجع به غیرت دارد، ولى خانم خود را به بازار مى‏فرستد و مى‏رود با مردها حرف می‌زند اشکال ندارد! آنجا غیرت او گُل نمى‏کند اما وقتى زنش را به مکه مى‏فرستد موقع احرام که مى‏شود مى‏گوید: صورتت را بپوشان، صورتت را بپوشان مرد دارد نگاه مى‏کند! حالا که‏ نمى‏شود صورت را بپوشاند یک کلاهی چیزى که الآن هم رسم شده است و گاهى اوقات کلاه مى‏گذارند [بگذار] حالا به‌عنوان سایه‌بان است ولى قبلاً مى‏گذاشتند که لبۀ کلاه جلو بیاید و بعد [پارچه‏اى روى] آن مى‏انداختند. حالا این خانمِ فلان آقا است، مردم بیایند نگاه کنند ببینند خانم فلان آقا به طواف مى‏آید، بعضى‌ها هم که </w:t>
      </w:r>
      <w:r>
        <w:rPr>
          <w:rStyle w:val="Arabi"/>
          <w:rtl w:val="0"/>
          <w:lang w:val="fa-IR"/>
        </w:rPr>
        <w:t xml:space="preserve">فى قلوبِهم مرض</w:t>
      </w:r>
      <w:r>
        <w:rPr>
          <w:rtl w:val="0"/>
          <w:lang w:val="fa-IR"/>
        </w:rPr>
        <w:t xml:space="preserve"> هست.</w:t>
      </w:r>
    </w:p>
    <w:p>
      <w:pPr>
        <w:pStyle w:val="Heading6"/>
      </w:pPr>
      <w:r>
        <w:rPr>
          <w:rtl w:val="0"/>
          <w:lang w:val="fa-IR"/>
        </w:rPr>
        <w:t xml:space="preserve">مصداقِ قرار گرفتن غیرت درقبال عبودیت</w:t>
      </w:r>
    </w:p>
    <w:p>
      <w:pPr/>
      <w:r>
        <w:rPr>
          <w:rtl w:val="0"/>
          <w:lang w:val="fa-IR"/>
        </w:rPr>
        <w:t xml:space="preserve">در یک مجلسى بودم و از شخصى که شخص معروفى هم بود و الآن فوت کرده تعریف مى‏کردند، همین آقایان تعریف مى‏کردند، گفتند: این‌قدر ایشان متعبد بود که اصلاً اجازه نمى‏داد کسى به عیال او نگاه بکند. چنان محافظت کرده بود که [کسی نبیند]! حالا عیالش یک بدبخت 65 سالۀ قوزی بود، البته بنده ندیده بودم. حالا چه شده آقا؟! مگر شاه پریان داری که حالا این‌قدر دور او را گرفته‌ای؟! چنان گرفته که مبادا چشم نامحرم به او بیفتد. می‌گفتند که تمام حج ایشان صرف مراقبت از او شده که مبادا... گفتم: خاک بر سرش کنند. او که مى‏خواست این‌طوری حج انجام بدهد چرا از خانه‏اش بیرون آمد؟! مگر مجبور بود؟! تو به‌جاى اینکه حواست آن بالا باشد کجاست؟! کجا تو حج انجام دادی؟! کجا در این حج توجه کردی؟! مگر تو مى‏توانستى دیگر در طواف بگردی؟! ذهنت در طواف کجا بود؟! پیغمبر صلّی الله علیه و آله و سلّم هم این‌طوری بود؟! آیا وقتى که عایشه با پیغمبر طواف مى‏کرد پیغمبر هم او را این‌طوری گرفته بود تا کسى او را نبیند؟! این مسائل همه کشک است! یعنى آن غیرت را در قبال عبودیت قرار دادن است! این بدبختى ما است! بزرگان و اولیاء مى‏فرمایند: وقتى که مى‏خواهى حج انجام بدهى از غیرت تخیلى باید بیرون بیایى، این غیرت را براى جاى دیگر نگه‌دار! چه کسى به تو گفته است که باید زن خود را از نامحرم بپوشانی؟! خدا مى‏گوید: اگر من گفتم، اینجا مى‏گویم که نباید بپوشانی، تو چه مى‏گویی؟! تو چه مى‏گویی؟! در اینجا خیلى مسئله و قضیه و مطلب هست! غیرت ما بیشتر است یا غیرت امام حسین یا غیرت حضرت سجاد علیهما‌السّلام؟ کدام بیشتر است؟! پس چرا این قضایا اتفاق افتاد؟ چرا؟! چهرۀ ‏حضرت زینب سلام‌الله‌علیها را همۀ مردم در قصر ابن‌زیاد، در چهارراه کوفه، در مجلس یزید دیدند و اگر نمى‏دیدند نمى‏گفتند که داراى چه شکل و شمایلى است. اگر آن شخص فاطمه بنت الحسین را نمى‏دید که به یزید نمى‏گفت: او را به من بده!</w:t>
      </w:r>
      <w:r>
        <w:rPr>
          <w:rStyle w:val="FootnoteReference"/>
        </w:rPr>
        <w:footnoteReference w:id="5"/>
      </w:r>
      <w:r>
        <w:rPr>
          <w:rtl w:val="0"/>
          <w:lang w:val="fa-IR"/>
        </w:rPr>
        <w:t xml:space="preserve"> پس غیرت امام حسین کجا رفت؟! غیرت امام سجاد کجا رفت؟! کجا رفت؟! چرا خدا اینجا ملاحظه نکرد؟! امام حسین مى‏گوید: من غیرت را در رضاى خدا دارم، آنجا که مى‏گوید: این غیرت را کنار بگذار </w:t>
      </w:r>
      <w:r>
        <w:rPr>
          <w:rStyle w:val="Arabi"/>
          <w:rtl w:val="0"/>
          <w:lang w:val="fa-IR"/>
        </w:rPr>
        <w:t xml:space="preserve">سمعاً و طاعتا</w:t>
      </w:r>
      <w:r>
        <w:rPr>
          <w:rtl w:val="0"/>
          <w:lang w:val="fa-IR"/>
        </w:rPr>
        <w:t xml:space="preserve"> «</w:t>
      </w:r>
      <w:r>
        <w:rPr>
          <w:rStyle w:val="RevayatArabi"/>
          <w:rtl w:val="0"/>
          <w:lang w:val="fa-IR"/>
        </w:rPr>
        <w:t xml:space="preserve">إلَهى رِضىً بقَضائِکَ، تَسلیمًا لِأمرِکَ، لا مَعبودَ سِواکَ</w:t>
      </w:r>
      <w:r>
        <w:rPr>
          <w:rtl w:val="0"/>
          <w:lang w:val="fa-IR"/>
        </w:rPr>
        <w:t xml:space="preserve">.»</w:t>
      </w:r>
      <w:r>
        <w:rPr>
          <w:rStyle w:val="FootnoteReference"/>
        </w:rPr>
        <w:footnoteReference w:id="6"/>
      </w:r>
    </w:p>
    <w:p>
      <w:pPr>
        <w:pStyle w:val="She'rMatn"/>
      </w:pPr>
      <w:r>
        <w:rPr>
          <w:rStyle w:val="Arabi"/>
          <w:rtl w:val="0"/>
          <w:lang w:val="fa-IR"/>
        </w:rPr>
        <w:t xml:space="preserve">تَرَکتُ الخَلقَ طُرّا فى هَواکا *** وَ أیتَمتُ العیالَ لِکى اراکا</w:t>
      </w:r>
    </w:p>
    <w:p>
      <w:pPr>
        <w:pStyle w:val="She'rMatn"/>
      </w:pPr>
      <w:r>
        <w:rPr>
          <w:rStyle w:val="Arabi"/>
          <w:rtl w:val="0"/>
          <w:lang w:val="fa-IR"/>
        </w:rPr>
        <w:t xml:space="preserve">وَلَو قَطَّعتَنى فِى الحُبِّ اربا *** لَما حَنَّ الفُؤادُ الى سَواکا</w:t>
      </w:r>
      <w:r>
        <w:rPr>
          <w:rStyle w:val="FootnoteReference"/>
        </w:rPr>
        <w:footnoteReference w:id="7"/>
      </w:r>
    </w:p>
    <w:p>
      <w:pPr/>
      <w:r>
        <w:rPr>
          <w:rtl w:val="0"/>
          <w:lang w:val="fa-IR"/>
        </w:rPr>
        <w:t xml:space="preserve">این چطور در اینجا هست؟ اگر ما بخواهیم غیرت داشته باشیم باید آن غیرت را از امام حسین یاد بگیریم! اگر ما مى‏خواهیم عبودیت را به‌دست بیاوریم باید آن عبودیت را از امام حسین یاد بگیریم! نه عبودیت اختلاقی؛ اختلاق یعنى ساختگی مُختَلَق یعنى از پیش خود ساخته شده، عبودیت اختلاقى به‌درد نمى‏خورد بلکه عبودیت حقیقى و واقعى که در اینها و در این زمامداران خود مشاهده مى‏کنیم باید اینها را به‌دست بیاوریم. جایى که مى‏گوید: غیرت به خرج بده، باید غیرت به خرج بدهی و جایى که مى‏گوید: رها کن، باید رها کنی! زن تو را دیدند که دیدند، تو به مکه رفتى ولى در بند زن خود هستی نه‌اینکه بیرون آمدى! فقط یک لباس سفید به خودت پوشاندى دوتا حوله بستى و خیال کردى که حج است! نه آقا این حج نیست! حج دوتا لباس سفید بالا و پایین بستن نیست! حج بیرون آمدن از تعلق است، این حج است! وقتى که دارى لبیک مى‏گویى یعنى از هرچه‏ تعلق است خارج شدم، از زنم خارج شدم، از بچه‌هایى که در وطن گذاشتم خارج شدم، از کسب و کار، دکان، تجارت‌خانه، دفتر و دستک و اینها همه خارج شدم. این معناى لبیک است. همان جایى که دارى لبیک مى‏گویى یک‌دفعه موبایلت زنگ مى‏زند! آخ آخ اى لعنت بر این موبایل، اى لعنت بر این موبایل، در حج هم این موبایل رها نمى‏کند! خیر سرت دارى احرام مى‏بندى؟! زنگ می زند و می گوید که آقا فلان معامله را که کردى شکست خورده و ده بیست میلیون ضرر کردی! اى وای، موبایل را برمى‏دارى از این‌طرف مى‏دوى و به آن‌طرف مى‏دوى ـ حالا به‌عنوان اینکه در مسجد مزاحم نباشی ـ با آن تماس بگیر که چه برو آن را ببین، جلوى این را بگیر، دارى لبیک مى‏گویى حواست در آن ده میلیون است! الاغ! بهتر بود نمى‏آمدی، آخر با این وضع کجای آن لبیک است؟! کجاى این دیگر لبیک است؟! من زیر ناودان ایستاده‏ام، طرف موبایل را برداشته دارد راجع به مسائلش با طهران حرف مى‏زند! مرتیکه، همین‌طورى به او گفتم، گفتم: احمق اینجا جاى صحبت کردن است؟! مى‏گوید: پس کجا جاى صحبت کردن است؟! همین جا جاى صحبت کردن است! اصفهانى هم بود. آخر مگر جلوى ناودان کسى موبایل دستش می‌گیرد؟! این‌قدر بى‏شعور! این‌قدر نفهم! در حجر اسماعیل هم نتوانست موبایل را از خودش جدا کند! [آن وقت] بلند می‌شود شش دور می‌گردد! اقلاً این موبایل را دست شخصی بده!</w:t>
      </w:r>
    </w:p>
    <w:p>
      <w:pPr>
        <w:pStyle w:val="Heading6"/>
      </w:pPr>
      <w:r>
        <w:rPr>
          <w:rtl w:val="0"/>
          <w:lang w:val="fa-IR"/>
        </w:rPr>
        <w:t xml:space="preserve">استفاده از موبایل فقط براى موارد ضرورى</w:t>
      </w:r>
    </w:p>
    <w:p>
      <w:pPr/>
      <w:r>
        <w:rPr>
          <w:rtl w:val="0"/>
          <w:lang w:val="fa-IR"/>
        </w:rPr>
        <w:t xml:space="preserve">اینها را باید به مردم گفت، یعنى اصلاً الآن فرهنگ، فرهنگ غلطى است؛ تمام فرهنگ مکالمات و ارتباطات ما غلط است! چه کسى گفته که هر کسى موبایل دارد بایستى مدام حرف بزند و جواب زنگش را بدهد؟! یک ساعت خاص دارد در این یک ساعت هر کسى مى‏خواهد تماس بگیرد. چرا؟ مگر قبلاً مردم که در خانه‌شان تلفن بود یک تلفن این‌قدرى هم روی کمرشان مى‏چسباندند؟ فرض‏ کنید اگر در خانه‏اى تلفن بود هروقت بیرون بودند خب بیرون بودند دیگر و خبر نداشتند ولى الآن [تماس می‌گیرند اگر] پنج دقیقه جواب ندهد، مى‏گوید: کجا بودی؟! زنگ زدم نبودی؟! زهرمار! زنگ زدم نبودى یعنى چه؟! براى خودش بیرون رفته بود. نه، من باید بدانم کجا رفته بود! آقا دو دفعه تماس گرفتم نبودی! موبایل پیشم نبود دیگر، چرا نبود؟! حالا یک‌ مقدار حسن ظنى هم به انسان داشته باشد می‌گوید: شاید نخواستید کسى مزاحم شما بشود! بابا اصلاً نمى‏خواهم کسى مزاحم من بشود! بارها شده خود بنده موبایل جلوى من روى میز بود ـ الحمدلله الآن که دیگر نداریم، خلاص، از خیلى مطالب راحت شدیم ـ مى‏دانم، ولى نمى‏توانم اصلاً بردارم و حرف بزنم حالم به‌هم مى‏خورد و از آن حال آرامشم بیرون مى‏آیم.</w:t>
      </w:r>
    </w:p>
    <w:p>
      <w:pPr>
        <w:pStyle w:val="Heading6"/>
      </w:pPr>
      <w:r>
        <w:rPr>
          <w:rtl w:val="0"/>
          <w:lang w:val="fa-IR"/>
        </w:rPr>
        <w:t xml:space="preserve">موبایل باعث سلب آرامش و ازبین رفتن امکانات نفس</w:t>
      </w:r>
    </w:p>
    <w:p>
      <w:pPr/>
      <w:r>
        <w:rPr>
          <w:rtl w:val="0"/>
          <w:lang w:val="fa-IR"/>
        </w:rPr>
        <w:t xml:space="preserve">ما براى چه زندگى مى‏کنیم؟ براى آرامش مى‏کنیم. این چه زندگى است که انسان باید همیشه در حال انتظار باشد؟! آخ زنگش دربیاید، آخ زنگش دربیاید، اصلاً مسئله این‌طور غلط است! موبایل فقط براى موارد ضرورى است ولى همین شده جزو زندگی! چه اشکال دارد وقتى افراد از خانه بیرون مى‏آیند موبایل نداشته باشند؟! چه اشکال دارد موبایل براى محل کار در منزل باشد و مثل سابق انجام شود؟! شما باور بفرمایید از وقتى که این موبایل وارد زندگى افراد شده است شصت درصد، هفتاد درصد ذهن آنها را به خود مشغول کرده است یعنى ما هفتاد درصد عقب هستیم، شما از سى درصد و بیست درصد امکانات نفستان دارید استفاده مى‏کنید، متوجه هستید چه دارم مى‏گویم؟ هشتاد درصد شما تعطیل است و این بزرگ‌ترین خطر براى سالک است که هشتاد درصد از آرامش او تعطیل باشد، هشتاد درصد هم تازه کم گفتم، باید بگویم: نود درصد! ده درصد مى‏ماند و در این شرایط انسان رشد نمى‏کند. اگر آن چوب‌هاى وسط این مدرسه رشد کردند ما هم رشد مى‏کنیم! اگر آن تخت‏های [شهریه دادن] که تا دو یا سه روز دیگر مى‏آیند اینجا چیده مى‏شوند و باید چیده شود [رشد کردند ما هم رشد می‌کنیم]!</w:t>
      </w:r>
    </w:p>
    <w:p>
      <w:pPr/>
      <w:r>
        <w:rPr>
          <w:rtl w:val="0"/>
          <w:lang w:val="fa-IR"/>
        </w:rPr>
        <w:t xml:space="preserve">یادم هست یک روز مرحوم آقا ـ رضوان الله تعالی علیه ـ در مسجد قائم صحبت مى‏کردند و مى‏فرمودند: در همان زمانى که در نجف بودند یک روز قبل از ظهر به منزل آقاى خوئى رفتم ـ این را در مسجد مى‏گفتند ـ و دیدم که ایشان نشسته‏اند و دارند به بعضى از این نامه‏ها و وجوه و این چیزها مى‏پردازند. آقاى خوئى رو به من کردند و گفتند: آقا سیدمحمدحسین من دیشب یک خوابى دیدم و گفتم که این خواب را به تو بگویم. ایشان با مرحوم پدر ما غیر از بحث استاد و شاگردى که تقریباً شش یا هفت سالى نزد ایشان اصول مى‏خواندند یک انس خاصى هم داشتند و به منزل پدر ما در نجف مى‏آمدند، یک روابط خانوادگى هم بین ایشان بوده و اینها هم به آنجا مى‏رفتند و تقریباً هر ماهى یک دفعه چنین چیزهایى داشتند. آقاى خوئى هم ـ خدا رحمتشان کند ـ آدم خوش‌نفسى بود ولى بالأخره خوش‌نفسى تنها هم کافی نیست و یک تیزى لازم است، یک اهتمام و ارادۀ جدى و عزم راسخ لازم است، صرف خوش‌نفسی و اینها کافی نیست.</w:t>
      </w:r>
    </w:p>
    <w:p>
      <w:pPr/>
      <w:r>
        <w:rPr>
          <w:rtl w:val="0"/>
          <w:lang w:val="fa-IR"/>
        </w:rPr>
        <w:t xml:space="preserve">من یک وقتى نزد مرحوم آقا ـ رضوان الله تعالی علیه ـ بودم و مقایسه بین آقاى خوئى و یکى دیگر شد که حالا اسم او را نمى‏برم. ایشان فرمودند: نه، این آقاى خوئی نفسانیاتش، نفسانیات خیلى کمى بود ولى آن شخص دیگر نه‌خیر ایشان خیلى مشکل داشت. حالا هرچه بود راجع به دو نفرى صحبت بود و منتها دیگر «</w:t>
      </w:r>
      <w:r>
        <w:rPr>
          <w:rStyle w:val="Arabi"/>
          <w:rtl w:val="0"/>
          <w:lang w:val="fa-IR"/>
        </w:rPr>
        <w:t xml:space="preserve">فاذکروا موتاکم بالخیر</w:t>
      </w:r>
      <w:r>
        <w:rPr>
          <w:rtl/>
          <w:lang w:val="fa-IR"/>
        </w:rPr>
        <w:t xml:space="preserve">».</w:t>
      </w:r>
      <w:r>
        <w:rPr>
          <w:rStyle w:val="FootnoteReference"/>
        </w:rPr>
        <w:footnoteReference w:id="8"/>
      </w:r>
      <w:r>
        <w:rPr>
          <w:rtl w:val="0"/>
          <w:lang w:val="fa-IR"/>
        </w:rPr>
        <w:t xml:space="preserve"> دیگر خودشان مى‏دانند و خداى خودشان.</w:t>
      </w:r>
    </w:p>
    <w:p>
      <w:pPr/>
      <w:r>
        <w:rPr>
          <w:rtl w:val="0"/>
          <w:lang w:val="fa-IR"/>
        </w:rPr>
        <w:t xml:space="preserve">خلاصه ایشان مى‏گفتند: من دیشب خواب دیدم که در یک بیابانى هستم و دارند من را به‌سمت صحراى محشر حرکت مى‏دهند، نزدیک صحراى محشر که رسیدیم، من دیدم در مقابل خودم یک کوهى از اسکناس و پول هست؛ یک کوه عظیم از همین سکه‌های طلا، سکه‌هاى نقره و حتى اسکناس هست و در کنار من مرحوم آقا سید ابوالحسن اصفهانى ایستاده است و این کوه مربوط به ایشان است و به ایشان مى‏گویند که باید از این کوه بالا بروى و پایین بیایى و بعد رد شوی، از روى کوه اسکناس هم که نمى‏شود رد شد، تا آدم مى‏خواهد برود روى آن سُر مى‏خورد و نمى‏شود! اسکناس که سنگ نیست! این آقا سیدابوالحسن ایستاده و به من خوئى مى‏گوید: چه‌کار کنم؟! من راهى ندارم! من هم مى‏گویم: من نمى‏دانم که تو باید چه‌کار کنی! باید اینها را بچسبانى که سفت شود، پول که به‌هم نمى‏چسبد و من از خواب بیدار شدم. مرحوم آقا مى‏فرمودند که ما وقت را مغتنم شمردیم و به ایشان گفتیم که شما نسبت به این خواب چه نظر و تعبیرى دارید؟ ایشان گفتند که من همین‌طور از صبح تا حالا [متحیّر هستم و مانده‏ام] که این قضیه چیست؟ ایشان فرمودند: آیا مقصود از این کوه صرف وجوهات امام علیه‌السّلام در غیر از موارد مرضیه براى آن حضرت نبوده است؟! آقاى خوئى فکرى کردند و گفتند: پناه بر خدا، ما نمى‏دانیم این قضیه چیست و به چه کیفیت است!</w:t>
      </w:r>
    </w:p>
    <w:p>
      <w:pPr/>
      <w:r>
        <w:rPr>
          <w:rtl w:val="0"/>
          <w:lang w:val="fa-IR"/>
        </w:rPr>
        <w:t xml:space="preserve">ظاهر خواب که این را نشان مى‏دهد، اینکه مى‏گویند: از این کوه بالا برو، یعنى گیر هستى؛ یعنى راجع به پول‌هایى که خرج کردى گیر هستی و حالا بیا جواب پس بده. اگر گیر نبود کوهى هم نبود و مى‏رفت، جاده صاف بود و مى‏رفت. مرحوم آقا فرمودند که شما نسبت به این قضیه چه نظرى دارید؟! بالأخره شما هم در مظانّ مرجعیت هستید و در آن زمان مقدمات مرجعیت ایشان داشت آماده مى‏شد؛ اول درس و بعد فلان و کم‌کم ...</w:t>
      </w:r>
    </w:p>
    <w:p>
      <w:pPr/>
      <w:r>
        <w:rPr>
          <w:rtl w:val="0"/>
          <w:lang w:val="fa-IR"/>
        </w:rPr>
        <w:t xml:space="preserve">ایشان جواب مى‏دهد که مسئلۀ من با مسئلۀ مرحوم آقا سیدابوالحسن فرق مى‏کند؛ ایشان به وکلاى خود اجازۀ تام مى‏دادند در تصرف </w:t>
      </w:r>
      <w:r>
        <w:rPr>
          <w:rStyle w:val="Arabi"/>
          <w:rtl w:val="0"/>
          <w:lang w:val="fa-IR"/>
        </w:rPr>
        <w:t xml:space="preserve">بأىِّ‌نحوٍکان</w:t>
      </w:r>
      <w:r>
        <w:rPr>
          <w:rtl w:val="0"/>
          <w:lang w:val="fa-IR"/>
        </w:rPr>
        <w:t xml:space="preserve"> ولکن‏ من نسبت به وکلا این‌طور نیستم و من در اعطاء وکالت نسبت به موارد خلاف سلب مسئولیت مى‏کنم لذا اگر آن وکیل خودش کار خلاف و تصرف خلافى کرد و یا مالى را بالا کشید یا به این‌وآن داد مسئولیت آن متوجۀ من نمى‏شود. مرحوم آقا به ایشان فرمودند: این مبرِّر نیست؛ این مبرِّر ذمّه نیست زیرا نفس اعطاء وکالت شما اجازۀ در تصرف است و همین‌که شما مى‏گویید که من شما را براى تصرف در اینها وکیل کردم یعنی مى‏خواهى صرف کنى دیگر </w:t>
      </w:r>
      <w:r>
        <w:rPr>
          <w:rStyle w:val="Arabi"/>
          <w:rtl w:val="0"/>
          <w:lang w:val="fa-IR"/>
        </w:rPr>
        <w:t xml:space="preserve">بأىِّ‌نحوٍکان</w:t>
      </w:r>
      <w:r>
        <w:rPr>
          <w:rtl w:val="0"/>
          <w:lang w:val="fa-IR"/>
        </w:rPr>
        <w:t xml:space="preserve"> مى‏توانی؛ یعنى شما از قِبل من مُجاز هستی و هر تصرفى که او بکند این تصرف به شما برگشت داده مى‏شود. فرمودند که ایشان این مطلب ما را نپذیرفتند و خلاصه إن قلت داشتند و تصور مى‏کردند که با آن نحوه‌ای که بیان کردند این مسئولیت را از ایشان سلب مى‏کند.</w:t>
      </w:r>
    </w:p>
    <w:p>
      <w:pPr/>
      <w:r>
        <w:rPr>
          <w:rtl w:val="0"/>
          <w:lang w:val="fa-IR"/>
        </w:rPr>
        <w:t xml:space="preserve">اینها چیزهایى است که هست یعنى مسائلى است که واقعیت دارد و آدم بایستى که جواب آن را بدهد. حالا مضافاً به اینکه موجب وهن اسلام و تشیع بشود! موجب وهن حوزه‏هاى علمیه بشود. وهن اسلام فقط به مقاله و مطالب إلحادى نوشتن و این چیزها و بالای چشمت ابرو هست که نیست، این بساطى که الآن هست و افراد مى‏آیند و مشاهده کنند و عکس بردارند آیا اینها موجب وهن حوزه نیست؟! اگر نیست پس چرا این‌همه از بزرگان تابه‌حال سعى کرده‏اند که به </w:t>
      </w:r>
      <w:r>
        <w:rPr>
          <w:rStyle w:val="Arabi"/>
          <w:rtl w:val="0"/>
          <w:lang w:val="fa-IR"/>
        </w:rPr>
        <w:t xml:space="preserve">بأىِّ‌نحوٍکان</w:t>
      </w:r>
      <w:r>
        <w:rPr>
          <w:rtl w:val="0"/>
          <w:lang w:val="fa-IR"/>
        </w:rPr>
        <w:t xml:space="preserve"> این بساط را برچینند؟!</w:t>
      </w:r>
    </w:p>
    <w:p>
      <w:pPr/>
      <w:r>
        <w:rPr>
          <w:rtl/>
          <w:lang w:val="fa-IR"/>
        </w:rPr>
        <w:t xml:space="preserve">چقدر مرحوم مطهرى در این زمینه رفت و آمد کرد و با این‌طرف و با آن‌طرف صحبت کرد و به نتیجه نرسید و حتى سایر افراد هم مى‏شنیدم [که تلاش کردند]. چقدر همین‌طور بنشینیم و دست روى دست بگذاریم و بگوییم که ما آمادگى داریم که قضیه درست شود؟! آمادگى داری، خب برو پیگیرى کن، راه بیفت! اگر یک مسئله غیر از این اتفاق بیفتد شما در خانه نمى‏نشینى بگویى که این قضیه خلاف است، اگر به جایى بخواهد بربخورد بلند مى‏شوید عمامه را سرتان و عبا را روى دوشتان مى‏گذارید و نعلین و گیوه را بالا مى‏کشید و صبح تا شب این در و آن در مى‏دوید. حالا این مهم‌تر است یا آن مهم‌تر است؟! این قضیه مهم‌تر است یا آن مسائل دیگر مهم‌تر است؟! اینها مبرِّر نیست خلاصه! اگر آمادگى دارید، شروع کنید و به دیگران کار نداشته باشید تا کسانى که در این قضیه سنگ مى‏اندازند مفتضح شوند که چه کسانى دارند سنگ مى‏اندازد و چه کسانى دارند جلوى رفع نقائص را مى‏گیرند؛ رفع این موهن‏ها و امور موهنه را مى‏گیرند. معلوم شود چه کسى صادق است و چه کسى مدعى است. اینها همه باید مشخص شود ولی مى‏بینیم که نه این مسائل به این نحو و به این کیفیت نیست. علیٰ‌کلّ‌حال در اینجا یک مقدارى به حاشیه رفتیم و دیگر مى‏بخشید گاه‌گاهى این‌طور مى‏شود. الآن یک پاسبان یک رفتگر کارش حساب‌وکتاب دارد، شهریۀ او حساب دارد، سر وقت مى‏رود پولش را از بانک مى‏گیرد.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 سوره نحل (١٦) آیه ٩٧. </w:t>
      </w:r>
      <w:r>
        <w:rPr>
          <w:rtl w:val="0"/>
          <w:lang w:val="fa-IR"/>
        </w:rPr>
        <w:t xml:space="preserve">رساله بدیعه</w:t>
      </w:r>
      <w:r>
        <w:rPr>
          <w:rtl w:val="0"/>
          <w:lang w:val="fa-IR"/>
        </w:rPr>
        <w:t xml:space="preserve">، ص ٤٠:</w:t>
      </w:r>
    </w:p>
    <w:p>
      <w:pPr>
        <w:pStyle w:val="FootnoteText"/>
      </w:pPr>
      <w:r>
        <w:rPr>
          <w:rtl/>
          <w:lang w:val="fa-IR"/>
        </w:rPr>
        <w:t xml:space="preserve">«هر کس از مرد یا زن از روی ایمان عمل صالحی انجام دهد، او را حیات و زندگی پاکیزه و خوشی بخشیم و به بهتر از آنچه عمل می‌کردند پاداششان می‌دهیم.».</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علیه‌السّلام، ج 1، ص 237، با قدری اختلاف. جهت اطلاع بیشتر رجوع شود به </w:t>
      </w:r>
      <w:r>
        <w:rPr>
          <w:rtl w:val="0"/>
          <w:lang w:val="fa-IR"/>
        </w:rPr>
        <w:t xml:space="preserve">شفاء الصّدور</w:t>
      </w:r>
      <w:r>
        <w:rPr>
          <w:rtl w:val="0"/>
          <w:lang w:val="fa-IR"/>
        </w:rPr>
        <w:t xml:space="preserve">، ج 1، ص 367.</w:t>
      </w:r>
    </w:p>
  </w:footnote>
  <w:footnote w:id="3">
    <w:p>
      <w:pPr>
        <w:pStyle w:val="FootnoteText"/>
      </w:pPr>
      <w:r>
        <w:rPr>
          <w:rStyle w:val="FootnoteReference"/>
        </w:rPr>
        <w:footnoteRef/>
      </w:r>
      <w:r>
        <w:t xml:space="preserve"> </w:t>
      </w:r>
      <w:r>
        <w:rPr>
          <w:rtl w:val="0"/>
          <w:lang w:val="fa-IR"/>
        </w:rPr>
        <w:t xml:space="preserve"> . جهت اطلاع بیشتر رجوع شود به </w:t>
      </w:r>
      <w:r>
        <w:rPr>
          <w:rtl w:val="0"/>
          <w:lang w:val="fa-IR"/>
        </w:rPr>
        <w:t xml:space="preserve">بحار الأنوار</w:t>
      </w:r>
      <w:r>
        <w:rPr>
          <w:rtl w:val="0"/>
          <w:lang w:val="fa-IR"/>
        </w:rPr>
        <w:t xml:space="preserve">، ج 6۷، تتمة أبواب مکارم الأخلاق، باب </w:t>
      </w:r>
      <w:r>
        <w:rPr>
          <w:rStyle w:val="Arabi"/>
          <w:rtl w:val="0"/>
          <w:lang w:val="fa-IR"/>
        </w:rPr>
        <w:t xml:space="preserve">النیة و شرائطها و مراتبها و کمالها و ثوابها و أن قبول العمل نادر</w:t>
      </w:r>
      <w:r>
        <w:rPr>
          <w:rtl w:val="0"/>
          <w:lang w:val="fa-IR"/>
        </w:rPr>
        <w:t xml:space="preserve">، ص ۲۱۲.</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(صبحی صالح)، ص ٢٧١.</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‌۲، ص ۱۲۱.</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الصراط المستقیم</w:t>
      </w:r>
      <w:r>
        <w:rPr>
          <w:rtl w:val="0"/>
          <w:lang w:val="fa-IR"/>
        </w:rPr>
        <w:t xml:space="preserve">، ج ١، ص ٣٢؛ </w:t>
      </w:r>
      <w:r>
        <w:rPr>
          <w:rtl w:val="0"/>
          <w:lang w:val="fa-IR"/>
        </w:rPr>
        <w:t xml:space="preserve">موسوعة الإمام الحسین</w:t>
      </w:r>
      <w:r>
        <w:rPr>
          <w:rtl w:val="0"/>
          <w:lang w:val="fa-IR"/>
        </w:rPr>
        <w:t xml:space="preserve"> علیه‌السّلام، ج ٤، ص ٥٨٢ و ٥٩٣ و ٦٠٨. </w:t>
      </w:r>
      <w:r>
        <w:rPr>
          <w:rtl w:val="0"/>
          <w:lang w:val="fa-IR"/>
        </w:rPr>
        <w:t xml:space="preserve">معاد شناسی</w:t>
      </w:r>
      <w:r>
        <w:rPr>
          <w:rtl w:val="0"/>
          <w:lang w:val="fa-IR"/>
        </w:rPr>
        <w:t xml:space="preserve">، ج ١، ص ٧٦:</w:t>
      </w:r>
    </w:p>
    <w:p>
      <w:pPr>
        <w:pStyle w:val="FootnoteText"/>
      </w:pPr>
      <w:r>
        <w:rPr>
          <w:rtl w:val="0"/>
          <w:lang w:val="fa-IR"/>
        </w:rPr>
        <w:t xml:space="preserve">«حضرت سیّد الشهداء که دل باختۀ خدا و عاشق لقاى او بود، در آن ساعات آخر با خداى خود راز و نیاز داشت:</w:t>
      </w:r>
    </w:p>
    <w:p>
      <w:pPr>
        <w:pStyle w:val="FootnoteText"/>
      </w:pPr>
      <w:r>
        <w:rPr>
          <w:rtl w:val="0"/>
          <w:lang w:val="fa-IR"/>
        </w:rPr>
        <w:t xml:space="preserve">”</w:t>
      </w:r>
      <w:r>
        <w:rPr>
          <w:rStyle w:val="RevayatArabi"/>
          <w:rtl w:val="0"/>
          <w:lang w:val="fa-IR"/>
        </w:rPr>
        <w:t xml:space="preserve">إلَهى رِضىً بقَضائِکَ، تَسلیمًا لِأمرِکَ، لا مَعبودَ سِواکَ، یا غیاثَ المُستَغیثینَ</w:t>
      </w:r>
      <w:r>
        <w:rPr>
          <w:rtl w:val="0"/>
          <w:lang w:val="fa-IR"/>
        </w:rPr>
        <w:t xml:space="preserve">!“ [خداوندا، راضی بر تقدیرات و بر فرمان جارى تو هستم، و تسلیم محض بر امر تو هستم، اى پناه پناه آورندگان! (محقق)]»</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 1، ص 124:</w:t>
      </w:r>
    </w:p>
    <w:p>
      <w:pPr>
        <w:pStyle w:val="FootnoteText"/>
      </w:pPr>
      <w:r>
        <w:rPr>
          <w:rtl w:val="0"/>
          <w:lang w:val="fa-IR"/>
        </w:rPr>
        <w:t xml:space="preserve">«شیخ بهاءالدّین عامِلی حکایت کرده است که در روایت وارد است: ابراهیم بن أدهَم در طواف بود، جوانی أمرد را که موی در صورت نداشت و زیباچهره بود دیدار کرد؛ شروع کرد به نگاه کردن به او و پس از آن روی از وی برگردانید و در میان طواف کنندگان متواری شد.</w:t>
      </w:r>
    </w:p>
    <w:p>
      <w:pPr>
        <w:pStyle w:val="FootnoteText"/>
      </w:pPr>
      <w:r>
        <w:rPr>
          <w:rtl w:val="0"/>
          <w:lang w:val="fa-IR"/>
        </w:rPr>
        <w:t xml:space="preserve">چون به خلوت آمد، از علّت این نگاه سؤال نمودند و به او گفتند: ما تا به حال از تو سابقه نداشتهایم که در سیمای جوان أمردی نظر کنی!</w:t>
      </w:r>
    </w:p>
    <w:p>
      <w:pPr>
        <w:pStyle w:val="FootnoteText"/>
      </w:pPr>
      <w:r>
        <w:rPr>
          <w:rtl w:val="0"/>
          <w:lang w:val="fa-IR"/>
        </w:rPr>
        <w:t xml:space="preserve">گفت: او پسر من است، و من او را در خراسان گذارده بودم. چون به جوانی رسید، از آنجا بیرون شده دنبال من می‌گردد. من ترسیدم که وی مرا از ذکر پروردگارم باز بدارد و حذر کردم که اگر او مرا بشناسد، من با او انس بگیرم. و سپس ابراهیم این اشعار را انشاد نمود:</w:t>
      </w:r>
    </w:p>
    <w:p>
      <w:pPr>
        <w:pStyle w:val="FootnoteText"/>
      </w:pPr>
      <w:r>
        <w:rPr>
          <w:rStyle w:val="Arabi"/>
          <w:rtl w:val="0"/>
          <w:lang w:val="fa-IR"/>
        </w:rPr>
        <w:t xml:space="preserve">هَجَرتُ الخَلقَ طُرًّا فی هَواکا *** و أیتَمتُ العیالَ لِکَی أراکا (1)</w:t>
      </w:r>
    </w:p>
    <w:p>
      <w:pPr>
        <w:pStyle w:val="FootnoteText"/>
      </w:pPr>
      <w:r>
        <w:rPr>
          <w:rStyle w:val="Arabi"/>
          <w:rtl w:val="0"/>
          <w:lang w:val="fa-IR"/>
        </w:rPr>
        <w:t xml:space="preserve">فَلَو قَطَّعتَنی فی الحُبِّ إربًا *** لَما حَنَّ الفُؤادُ إلَی سِواکا (2)</w:t>
      </w:r>
    </w:p>
    <w:p>
      <w:pPr>
        <w:pStyle w:val="FootnoteText"/>
      </w:pPr>
      <w:r>
        <w:rPr>
          <w:rtl w:val="0"/>
          <w:lang w:val="fa-IR"/>
        </w:rPr>
        <w:t xml:space="preserve">1. من در راه میل و هوای تو از جمیع خلائق کناره گرفتم؛ و برای دیدار و لقای تو عیالم را یتیم نمودم.</w:t>
      </w:r>
    </w:p>
    <w:p>
      <w:pPr>
        <w:pStyle w:val="FootnoteText"/>
      </w:pPr>
      <w:r>
        <w:rPr>
          <w:rtl w:val="0"/>
          <w:lang w:val="fa-IR"/>
        </w:rPr>
        <w:t xml:space="preserve">2. بنابراین، اگر تو درباره محبّتت مرا قطعه‌قطعه کنی، ناله و آه دل من به سوی غیر تو بلند نمی‌شود.</w:t>
      </w:r>
    </w:p>
    <w:p>
      <w:pPr>
        <w:pStyle w:val="FootnoteText"/>
      </w:pPr>
      <w:r>
        <w:rPr>
          <w:rtl w:val="0"/>
          <w:lang w:val="fa-IR"/>
        </w:rPr>
        <w:t xml:space="preserve">...</w:t>
      </w:r>
    </w:p>
    <w:p>
      <w:pPr>
        <w:pStyle w:val="FootnoteText"/>
      </w:pPr>
      <w:r>
        <w:rPr>
          <w:rtl w:val="0"/>
          <w:lang w:val="fa-IR"/>
        </w:rPr>
        <w:t xml:space="preserve">بنا بر آنچه گفته شد، ابیات: ”</w:t>
      </w:r>
      <w:r>
        <w:rPr>
          <w:rStyle w:val="Arabi"/>
          <w:rtl w:val="0"/>
          <w:lang w:val="fa-IR"/>
        </w:rPr>
        <w:t xml:space="preserve">هَجَرتُ الخَلقَ طُرًّا فی</w:t>
      </w:r>
      <w:r>
        <w:rPr>
          <w:rtl w:val="0"/>
          <w:lang w:val="fa-IR"/>
        </w:rPr>
        <w:t xml:space="preserve"> </w:t>
      </w:r>
      <w:r>
        <w:rPr>
          <w:rStyle w:val="Arabi"/>
          <w:rtl w:val="0"/>
          <w:lang w:val="fa-IR"/>
        </w:rPr>
        <w:t xml:space="preserve">هَواکا</w:t>
      </w:r>
      <w:r>
        <w:rPr>
          <w:rtl w:val="0"/>
          <w:lang w:val="fa-IR"/>
        </w:rPr>
        <w:t xml:space="preserve">“ از ابراهیم أدهم می‌باشد، و اینکه در منابر به حضرت سیّدالشّهداء علیه السّلام نسبت می‌دهند زبان حال است نه زبان قال.»</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الصّمت و آداب اللسان</w:t>
      </w:r>
      <w:r>
        <w:rPr>
          <w:rtl w:val="0"/>
          <w:lang w:val="fa-IR"/>
        </w:rPr>
        <w:t xml:space="preserve">، ابن أبی‌الدّنیا، ص ٣٠٤:</w:t>
      </w:r>
    </w:p>
    <w:p>
      <w:pPr>
        <w:pStyle w:val="FootnoteText"/>
      </w:pPr>
      <w:r>
        <w:rPr>
          <w:rtl w:val="0"/>
          <w:lang w:val="fa-IR"/>
        </w:rPr>
        <w:t xml:space="preserve">«</w:t>
      </w:r>
      <w:r>
        <w:rPr>
          <w:rStyle w:val="Arabi"/>
          <w:rtl w:val="0"/>
          <w:lang w:val="fa-IR"/>
        </w:rPr>
        <w:t xml:space="preserve">لا تَذکُروا مَوتاکُم إلّا بخَیرٍ</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