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 و نهم</w:t>
      </w:r>
    </w:p>
    <w:p>
      <w:pPr>
        <w:pStyle w:val="Heading5"/>
      </w:pPr>
      <w:r>
        <w:rPr>
          <w:rtl w:val="0"/>
          <w:lang w:val="fa-IR"/>
        </w:rPr>
        <w:t xml:space="preserve">نقد توجیه و تفسیر بیانات افلاطون از بوعلى و معلم ثانی‏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r>
        <w:rPr>
          <w:rtl w:val="0"/>
          <w:lang w:val="fa-IR"/>
        </w:rPr>
        <w:t xml:space="preserve">در مسئلۀ مثل افلاطون عرض شد که معلم ثانی در توجیه کلام افلاطون در مثل نوریه قائل به وجود کلى عقلى و طبیعى شدند که البته در کلى عقلى همه معتقد به این مسئله هستند که وجودشان وجود در اذهان است ولى در کلى طبیعى ایشان مى‏گویند: منظور افلاطون از مثل نوریه همان کلى طبیعى است که وجود خارجى و وجود عینى دارد که آن عبارت از همان حقیقت انسانیت است که حقیقت انسانیت بدون خصوصیات عوارض طبعاً باید در کلى طبیعى تحقق پیدا کند چون اگر بخواهد عوارض مشخصه بیاید، از آن جنبۀ کلیت و سِعى خارج مى‏شود و به جزئى تبدیل مى‏شود و جزئى هم دیگر کلى نخواهد بود؛ ماهیت کلیه نخواهد بود.</w:t>
      </w:r>
    </w:p>
    <w:p>
      <w:pPr/>
      <w:r>
        <w:rPr>
          <w:rtl w:val="0"/>
          <w:lang w:val="fa-IR"/>
        </w:rPr>
        <w:t xml:space="preserve">این کلام معلم ثانى بود که در جلسۀ گذشته عرض شد که مسئلۀ عینى بودن یک مسئلۀ واقعى است و در کیفیت تحقق عینیات در عالم مثال بحث شد و گمان مى‏کنم مسئله در آنجا هم روشن شد که تمام تفکرات و تخیلات ما و صور متصلۀ به ما، صور مثالى ما، همۀ آنها یک وجود عینى در عالم مثال دارند همان‌طوری‌که خود ما وجود عینى در عالم مثال داریم و بر همین اساس است کسانى که اشراف بر مثال پیدا مى‏کنند نه‌تنها اشراف بر شخص خارجى پیدا مى‏کنند بلکه بر تفکرات، تخیلات، توهمات و خطورات او هم اشراف پیدا مى‏کنند و اگر اشراف پیدا نمى‏کردند نمى‏گفتند یک هم‌چنین فکرى کردی، یک هم‌چنین خیالى کردی، یک هم‌چنین توهمى کردی! اگر اینها صورت خارجى مثالى نداشته باشند پس او از کجا فهمید و از کجا مطّلع شد بر اینکه او یک هم‌چنین تفکرى داشته و یک هم‌چنین توهمى داشته است؟!</w:t>
      </w:r>
    </w:p>
    <w:p>
      <w:pPr>
        <w:pStyle w:val="Heading6"/>
      </w:pPr>
      <w:r>
        <w:rPr>
          <w:rtl w:val="0"/>
          <w:lang w:val="fa-IR"/>
        </w:rPr>
        <w:t xml:space="preserve">کیفیت اطلاع بر ذهن افراد به‌واسطۀ ارتباط با مثال</w:t>
      </w:r>
    </w:p>
    <w:p>
      <w:pPr/>
      <w:r>
        <w:rPr>
          <w:rtl w:val="0"/>
          <w:lang w:val="fa-IR"/>
        </w:rPr>
        <w:t xml:space="preserve">یااینکه حتى دیده شده است که در بعضى از موارد انسان فکر طرف را مى‏خواند و از چشم او مى‏فهمد که الآن راجع به او چه نیتى کرده است! چه قصدى کرده است! این اطلاع بر ذهن طرف به‌واسطۀ ارتباط مثال است، به‌واسطۀ اتحاد مثال با آن توهم خارجی است و این مسئله برگشت علم حصولى به علم حضورى است. البته در بحث تبدّل علم حصولى و علم حضورى ما یک بحثى را بعداً بیان خواهیم کرد که بحث بسیار مفصلى خواهد بود و یک عالم دیگرى بر عوالم معارف ما اضافه خواهد شد. ولى الآن برحسب اجمال عرض بنده این است وقتى که انسان یک اطلاعى بر مثال متصل شخص، بر صور ذهنى شخص پیدا مى‏کند، به‌واسطۀ این ارتباط چه پدیده‏اى پیدا مى‏شود و چه حادثه‏اى رخ مى‏دهد؟! چه قضیه‏اى پیدا مى‏شود تااینکه انسان به این اشراف دست مى‏یابد و این اطلاع را حاصل مى‏کند؟ چه قضیه‏اى در اینجا رخ مى‏دهد؟ این جاى بسیار تأمل است! در جایى که ارتباطى بین من و این شی‏ء خارجى نیست پس این اطلاع و آگاهى من دیگر در اینجا چه صورتى پیدا مى‏کند؟! وقتى که بین من و شخص ارتباطى وجود ندارد و او در دو مترى من نشسته و من در این‌طرف نشسته‏ام، دیگر نسبت به فکر او چه ارتباطى برقرار مى‏شود؟! بین خود من و خود او ربطى نیست تا چه برسد به اینکه من تخیل و توهم و تفکر او را اطلاع پیدا کنم، ولى ما مى‏بینیم این هست و این مسئله وجود دارد.</w:t>
      </w:r>
    </w:p>
    <w:p>
      <w:pPr>
        <w:pStyle w:val="Heading6"/>
      </w:pPr>
      <w:r>
        <w:rPr>
          <w:rtl w:val="0"/>
          <w:lang w:val="fa-IR"/>
        </w:rPr>
        <w:t xml:space="preserve">اشتراک حالات افراد در مراتب مختلفه</w:t>
      </w:r>
    </w:p>
    <w:p>
      <w:pPr/>
      <w:r>
        <w:rPr>
          <w:rtl w:val="0"/>
          <w:lang w:val="fa-IR"/>
        </w:rPr>
        <w:t xml:space="preserve">و همین‌طور این مطلب مطلبى است که دربارۀ اشتراک حالات افراد در مراتب مختلفه از بزرگان و از کتب اخلاق یا از کتب عرفان نظرى نقل شده است که چه‌بسا دیده شده است که افراد در یک آن، یک مطلب را تلقّى مى‏کنند به‌طوری که هیچ‌کدام اطلاع از دیگرى نداشته‏اند و این مسئله در آنجا مطرح شده است؛ در بحث عرفان نظرى و اتحاد و اشتراک در مسائل شهودى هست. به تجربه هم ما مسائلى از این قبیل را در میان بسیارى از افراد و دوستان خودمان دیده‏ایم. برگشت این مسئله به این است به‌واسطۀ آن ارتباطى که نفس رائى و مُدرِک با نفس مُدرَک پیدا مى‏کند این ارتباط باعث مى‏شود که یک واقعیت خارجى تحقق عینى و وحدت عینى پیدا کند؛ یعنى آن تفکرى که الآن شخص دارد و تخیلى که دارد، آن تخیل و آن توهم که مثال متصل او است، یک صورت مثال منفصل دارد که آن مثال منفصلش در مثال است و این شخص با اطلاع بر این و ارتباط با این مثال متصل، با آن صورت عینى مثال منفصل ارتباط پیدا مى‏کند و ارتباط با آن صورت به چه معنایى است؟! یعنى آیا او را مى‏بیند؟! خب دیدن در اینجا صحیح نیست یعنى همین دیدنى که در اینجا مى‏بیند، این دیدن در اینجا و این ربطى که در اینجا حاصل مى‏شود در یک آن، مسائل مختلفى باهم تحقق پیدا مى‏کند و در یک آن، صورت حصولى براى او حاصل مى‏شود و در همان آن، به‌واسطۀ صورت حصولی ربط حضورى براى او حاصل مى‏شود و در همان آن، به‌واسطۀ این ربط حصولى وحدت عینى خارجى حاصل مى‏شود ـ این وحدت عینى خارجى را درنظر داشته باشید که خیلى جاها به درد مى‏خورد ـ و وحدت عینى خارجى یعنى اتحاد علمى و اتحاد ادراک که از آن تعبیر به وحدت عقل و عاقل و معقول آورده مى‏شود که این بحث بعداً مى‏آید. این ظاهراً به‌عهدۀ فُرفوریوس بود و حکماى بعد از او در این مسئله به تحقیقات بهترى دست یافتند.</w:t>
      </w:r>
    </w:p>
    <w:p>
      <w:pPr/>
      <w:r>
        <w:rPr>
          <w:rtl w:val="0"/>
          <w:lang w:val="fa-IR"/>
        </w:rPr>
        <w:t xml:space="preserve">این وحدت عینى که مدرِک پیدا مى‏کند به‌واسطۀ وحدت است که در خود، این علم و شعور را مى‏یابد و وجدان مى‏کند و تا وحدت با آن صورت عینى مثالی پیدا نشود، این ادراک حاصل نمى‏شود. یک میلیون سال هم فکر کند تا وحدت پیدا نشود به جایى نمى‏رسد! شما الآن نگاه به درخت مى‏کنید، درخت را مى‏بینید، تا آن وحدت ادراکى بین شما و صورت شجریت حاصل نشود که صورت‏ مثالى است، شما اطلاع بر اینکه درخت الآن وجود دارد پیدا نمى‏کنید. شما الآن این دستگاه‏هایى که در اینجا هست را مى‏بینید و تا وحدت بین مدرِک و آن صورت مثالى پیدا نشود شما اطلاع بر اینکه الآن این دستگاه دارد تمام حرف‌ها را ضبط مى‏کند و اگر دست از پا خطا کنى ثبت مى‏شود و بعد دیگر تبعاتش را خدا مى‏داند! تمام این مسائل همه باید به‌واسطۀ این اتحاد حاصل شود و تا شما اتحاد پیدا نکنید رنگ شما یک‌دفعه نمى‏پرد و قرمز و سفید نمى‏شود! تا اتحاد پیدا نکنید شرمنده نمى‏شوید و رنگ شما قرمز نمى‏شود! یعنى این‌همه مسائلى را که انسان مشاهده مى‏کند و مى‏شنود، چه وقتی متأثر مى‏شود؟ وقتى که این صورت را در خود بیابد و تا مادامى که این صورت در خود او یافت نشود ـ یعنى اتحاد نشود، معنایش این است دیگر ـ از آن صورت عینى خارجى غریب و بیگانه است و غربت و بیگانگى و دوئیت بین دو شی‏ء، موجب سلب ارتباط است و موجب عدم ادراک و آگاهى است و براى رفع این مسئله باید دوئیت برداشته شود و وقتى که دوئیت برداشته شد یک واحد مى‏ماند و به‌واسطۀ آن یک واحد و آن وحدتى که هست انسان اطلاع بر حقایق خارجیه پیدا مى‏کند.</w:t>
      </w:r>
    </w:p>
    <w:p>
      <w:pPr>
        <w:pStyle w:val="Heading6"/>
      </w:pPr>
      <w:r>
        <w:rPr>
          <w:rtl w:val="0"/>
          <w:lang w:val="fa-IR"/>
        </w:rPr>
        <w:t xml:space="preserve">عدم فرق بین ولایت خداوند و ائمه علیهم‌السّلام</w:t>
      </w:r>
    </w:p>
    <w:p>
      <w:pPr/>
      <w:r>
        <w:rPr>
          <w:rtl w:val="0"/>
          <w:lang w:val="fa-IR"/>
        </w:rPr>
        <w:t xml:space="preserve">این مسئله بسیار دامنه‌دار است و به مباحث عرفان نظرى برمى‏گردد که مسئلۀ ولایت و خلافت الهى و آن ولایت امام علیه‏السّلام هم در باب کلام از این قضیه مى‏تواند نشئت پیدا کند و افرادى که ولایت امام را با ولایت الله دوتا مى‏بینند و آن را جدا احساس مى‏کنند و ولایت خدا را ولایت دیگر و آن را تفویضى تلقى مى‏کنند، به‌طورکلی از این معارف ولایى بیگانه و بعید هستند! حقیقت مسئلۀ ولایت به وحدت آن ولایت برمى‏گردد؛ تا آن ولایت اتحاد نداشته باشد و وحدت نداشته باشد آن ولىّ نمى‏تواند کار انجام بدهد! تا ولایت ولى عین ولایت إلٰه نباشد یک پشه را هم نمى‏تواند از خود دور کند! براى دور کردن یک پشه باید بین ولایت شخص و ولایت إلٰه اتحاد برقرار باشد والاّ پلک‏ چشم را هم شما نمى‏توانید به‌هم بزنید، انگشت دستتان را هم نمى‏توانید حرکت بدهید، سرتان را هم نمى‏توانید برگردانید! وقتى که انسان به حال سکون هست و آن قدرت‌ها همه سلب مى‏شود [چه اتفاقی رخ می‌دهد]؟ سلب قدرت [می‌شود] یعنى سلب ولایت منتها ما آن را به‌حساب قدرت مى‏گذاریم، به‌حساب از کار افتادن اجزاى بدن مى‏گذاریم ولی در واقع آن ولایت در اینجا منقطع شده است و آن ولایت مربوط به تمام ذرات موجودات عالم است که در بقاء خودشان و در تصرفات خودشان، نفس آنها متحد با نفس ولىّ‌ای است که والى ولایت إلِه مى‏شود و این فرقى نمى‏کند؛ کافر باشد همین است، مؤمن باشد همین است، فاسق باشد همین است، صالح باشد همین است، طالح باشد همین است، تمام افرادى که در عالم هستند تا ولایتشان اتحاد عینى با ولایت ساریه و جاریه از پروردگار که مبدأ اعلى است به آن ولىّ حى حاضر نداشته باشند نمى‏توانند تصرفى داشته باشند! آن ابن‌ملجم که شمشیر برمى‏دارد و بر فرق امیرالمؤمنین مى‏زند هم همین است. شما در اشعار دارید:</w:t>
      </w:r>
    </w:p>
    <w:p>
      <w:pPr>
        <w:pStyle w:val="She'rMatn"/>
      </w:pPr>
      <w:r>
        <w:rPr>
          <w:rtl w:val="0"/>
          <w:lang w:val="fa-IR"/>
        </w:rPr>
        <w:t xml:space="preserve">على را ضربتى کارى نمى‏شد *** گمانم ابن ملجم یا على گفت!</w:t>
      </w:r>
    </w:p>
    <w:p>
      <w:pPr/>
      <w:r>
        <w:rPr>
          <w:rtl w:val="0"/>
          <w:lang w:val="fa-IR"/>
        </w:rPr>
        <w:t xml:space="preserve">این اشعارى که مى‏گویند خب توجیهات هم دارد و به این کیفیت مى‏شود [توجیه کرد] یااینکه آن قاتل دارد با همان ولایت این کار را انجام مى‏دهد. مى‏گویند: آقا چطور ممکن است که یکى ولىّ باشد و ولایت داشته باشد و بعد هم به قاتل اجازه بدهد که بر سر من بزن و من را بکش؟! این حرف‌ها چیست؟! این چرت‌و‌پرت‌ها چیست؟! این مسئله به این برمى‏گردد که تا ارادۀ ولىّ نباشد او نمى‏تواند مژه برهم بگذارد چه برسد به اینکه بخواهد دست ببرد و شمشیر را از غلاف دربیاورد و بر سر او بزند. همین‌طور در همۀ این مسائل این وحدت باید حاصل بشود و وحدت کارى به خوبى و بدى هم ندارد که حالا فرض کنید که چون این وحدت حاصل شده است پس ابن‌ملجم مؤمن است! نه! ابن‌ملجم همان کافر و قسىّ و شقی هست.‏</w:t>
      </w:r>
    </w:p>
    <w:p>
      <w:pPr/>
      <w:r>
        <w:rPr>
          <w:rtl w:val="0"/>
          <w:lang w:val="fa-IR"/>
        </w:rPr>
        <w:t xml:space="preserve">صحبت در وحدت است و وحدت یعنى اتحاد در عالم وجود! اتحاد در عالم وجود یک مسئله است و قضیۀ حسن و قبح یک مسئلۀ دیگر است. فرض کنید تا این چاقو تیز نباشد نمى‏تواند یک شی‏ء را به دو نیم کند، باید تیز باشد؛ تیز بودن چاقو و به دو نیم شدن یک شی‏ء خارجى یک امرى است که شرایط خاص خود را مى‏طلبد. حالا این کار بد است یا خوب است دخلى به نفس فعل خارجى ندارد. اگر این کار بد است ولى چاقو کند است انجام نمى‏شود، اگر این کار خوب است و آن شی‏ء خارجى خیلى سفت باشد باز هم این مسئله انجام نمى‏شود. بد و خوب بودن اصلاً در اینجا راه ندارد.</w:t>
      </w:r>
    </w:p>
    <w:p>
      <w:pPr>
        <w:pStyle w:val="Heading6"/>
      </w:pPr>
      <w:r>
        <w:rPr>
          <w:rtl w:val="0"/>
          <w:lang w:val="fa-IR"/>
        </w:rPr>
        <w:t xml:space="preserve">اختلاف مسئلۀ دیدگاه توحیدى با مسائل حسن و قبح کلامى</w:t>
      </w:r>
    </w:p>
    <w:p>
      <w:pPr/>
      <w:r>
        <w:rPr>
          <w:rtl w:val="0"/>
          <w:lang w:val="fa-IR"/>
        </w:rPr>
        <w:t xml:space="preserve">این دیدگاه است که مسئلۀ دیدگاه توحیدى را با مسائل حسن و قبح کلامى جدا مى‏کند و هرکدام آن را در جاى خود قرار مى‏دهد لذا این باعث شده است که اشتباه و خلط در اینجا پیدا شود و مباحث ارزشى و کلامى در قضایا و مبانى توحیدى سرایت پیدا کند و تبدیل به یک آش شله‌قلمکاری بشود که یا از این‌طرف انکار شود یا از آن‌طرف انکار شود یااینکه طرف اصلاً گیج بزند و در جاهاى دیگر برود. بعضى از افراد که مسائل برایشان مشکل بود خلاصه به بالاخانه‏شان زده بود و دیگر نیاز به دوا و درمان داشتند، از جمله همین افراد آقا میرزا مهدى اصفهانى بود که به کله‏اش زده بود و داغ کرده بود. مرحوم نائینى ایشان را فرستادند در طهران که بیایند و آب‌وهوایی عوض بکنند. معلوم مى‏شود این حرف‌هایی که مى‏زد هم همه بى‏ریشه و بى‏حساب نبود! این مسائلى داشته که باید یک اصلى داشته باشد، یک مبدأ داشته باشد، بقیه این چرت‌وپرت‌ها ...</w:t>
      </w:r>
    </w:p>
    <w:p>
      <w:pPr>
        <w:pStyle w:val="Heading6"/>
      </w:pPr>
      <w:r>
        <w:rPr>
          <w:rtl w:val="0"/>
          <w:lang w:val="fa-IR"/>
        </w:rPr>
        <w:t xml:space="preserve">کلام معلم ثانی در توجیه مثل افلاطونی</w:t>
      </w:r>
    </w:p>
    <w:p>
      <w:pPr/>
      <w:r>
        <w:rPr>
          <w:rtl w:val="0"/>
          <w:lang w:val="fa-IR"/>
        </w:rPr>
        <w:t xml:space="preserve">خب این مطالب هرکدام باید جایگاه خودش را داشته باشد. مرحوم معلم ثانى این مسئله را به جناب افلاطون نسبت دادند که منظور افلاطون از مثل افلاطونى همان کلى طبیعى است که وجودش وجود اذهان است و وجودش هم وجود واقعى است و وجود خارجى است.</w:t>
      </w:r>
    </w:p>
    <w:p>
      <w:pPr/>
      <w:r>
        <w:rPr>
          <w:rtl w:val="0"/>
          <w:lang w:val="fa-IR"/>
        </w:rPr>
        <w:t xml:space="preserve">بنابراین اشکالى که مرحوم‏ صدرالمتألهین مى‏کند این است که ما عینى بودن حقایق کلیۀ طبیعى را در ذهن انکار نمى‏کنیم. همان‌طوری‌که الآن بنده عرض کردم نه‌تنها انکار نمى‏کنیم بلکه حتى صورت برزخى و مثالى آن را هم اثبات مى‏کنیم و دلیلش هم همین است که هرچه که در ذهن خطور کند باید یک حقیقت مثالى داشته باشد والاّ چگونه شما بر این اطلاع پیدا مى‏کنید؟! درحالی‌که همۀ افرادى که داراى مراتب شهود هستند در این وادى مسائلى را مطرح مى‏کنند. آنهایى که از غیب خبر مى‏دهند ـ چه ائمه و چه غیر از ائمه ـ همه از این تفکرات و تخیلات دارند خبر مى‏دهند! خود افراد عادى که نیات را مى‏خوانند همه در این مسئله دارند غور مى‏کنند و وارد مى‏شوند و این مسئله قابل انکار نیست ولى صحبت در این است که ایشان مى‏فرمایند که مسئلۀ افلاطون به یک واقعیت عینیۀ خارج از ذهن برمى‏گردد؛ مسئلۀ ذهن به حال خودش که در آنجا ما انکار نداریم ولی این را چه کنیم که به یک واقعیت خارجى برمى‏گردد و نحوۀ صحبت افلاطون اثبات یک واقعیت خارجیۀ نوعیه است که همۀ این صور جزئیه در تحت او قرار مى‏گیرند؟! لذا به‌خاطر همین است که اشکال وارد شده است والاّ نه بوعلى نسبت به این قضیه ایراد دارد و نه سایر افراد ایراد دارند، همه مى‏دانند که بالأخره ظرف تحقق کلى طبیعى ذهن است! خب اینکه دیگر جاى اشکال نیست، حالا یا کسى مى‏گوید که این عینیت خارجى ندارد و ذهن کشک و بیخود است، این غلط است. یااینکه مى‏گوید: ذهن خودش یک مسئلۀ خارجى و مثل خود شخص است؛ همان‌طور که یک عین خارجى است، ذهن او هم براى خودش عینیت خارجى دارد که </w:t>
      </w:r>
      <w:r>
        <w:rPr>
          <w:rStyle w:val="Arabi"/>
          <w:rtl w:val="0"/>
          <w:lang w:val="fa-IR"/>
        </w:rPr>
        <w:t xml:space="preserve">هو المطلوب</w:t>
      </w:r>
      <w:r>
        <w:rPr>
          <w:rtl w:val="0"/>
          <w:lang w:val="fa-IR"/>
        </w:rPr>
        <w:t xml:space="preserve">، لذا از این نقطه‌نظر به این قضیه اشکال نمى‏شود کرد.</w:t>
      </w:r>
    </w:p>
    <w:p>
      <w:pPr>
        <w:pStyle w:val="NaghlegholMatn"/>
      </w:pPr>
      <w:r>
        <w:rPr>
          <w:rStyle w:val="Arabi"/>
          <w:rtl w:val="0"/>
          <w:lang w:val="fa-IR"/>
        </w:rPr>
        <w:t xml:space="preserve">فإن قیلَ المشهورُ أنَّ أفلاطونَ أثبَتَ الجواهرَ العقلیة فی الأعیانِ بِحیث هی ماهیات کلیات لِلأفرادِ الخارجیةِ.</w:t>
      </w:r>
    </w:p>
    <w:p>
      <w:pPr>
        <w:pStyle w:val="NaghlegholMatn"/>
      </w:pPr>
      <w:r>
        <w:rPr>
          <w:rStyle w:val="Arabi"/>
          <w:rtl w:val="0"/>
          <w:lang w:val="fa-IR"/>
        </w:rPr>
        <w:t xml:space="preserve">قلتُ لعلَّ مرادَه بِالأعیانِ العقول‌ُ فإنَّها أعیانُ العالمِ الحسی و العالمُ‌</w:t>
      </w:r>
      <w:r>
        <w:rPr>
          <w:rtl w:val="0"/>
          <w:lang w:val="fa-IR"/>
        </w:rPr>
        <w:t xml:space="preserve"> </w:t>
      </w:r>
      <w:r>
        <w:rPr>
          <w:rStyle w:val="Arabi"/>
          <w:rtl w:val="0"/>
          <w:lang w:val="fa-IR"/>
        </w:rPr>
        <w:t xml:space="preserve">الحسی إنَّما هو ظلٌ لَها عندَه انتهىٰ کلامه.</w:t>
      </w:r>
      <w:r>
        <w:rPr>
          <w:rStyle w:val="FootnoteReference"/>
        </w:rPr>
        <w:footnoteReference w:id="2"/>
      </w:r>
    </w:p>
    <w:p>
      <w:pPr/>
      <w:r>
        <w:rPr>
          <w:rtl w:val="0"/>
          <w:lang w:val="fa-IR"/>
        </w:rPr>
        <w:t xml:space="preserve">اگر به این نحو گفته شود که اثبات جواهر عقلیه، یک ماهیات کلیه بر افراد خارجى است ـ این را معلم ثانى مى‏گوید ـ شما چه مى‏گویید؟ ایشان مى‏گویند که نه، باید کلام افلاطون را توجیه و تأویل کرد.</w:t>
      </w:r>
    </w:p>
    <w:p>
      <w:pPr/>
      <w:r>
        <w:rPr>
          <w:rtl w:val="0"/>
          <w:lang w:val="fa-IR"/>
        </w:rPr>
        <w:t xml:space="preserve">[جواب می‌دهیم که شاید مرادش از اعیان عقول باشد] عقول یعنى اذهان. اعیان عالم حسی است و عالم حسى ظل براى آن جنبۀ عالم عقلی است. خب لذا این وجودش وجود نفسى و وجود ذهنی می‌شود. کلام ایشان تمام شد.</w:t>
      </w:r>
    </w:p>
    <w:p>
      <w:pPr/>
      <w:r>
        <w:rPr>
          <w:rtl w:val="0"/>
          <w:lang w:val="fa-IR"/>
        </w:rPr>
        <w:t xml:space="preserve">حالا از اینجا کلام مرحوم آخوند است:</w:t>
      </w:r>
    </w:p>
    <w:p>
      <w:pPr>
        <w:pStyle w:val="NaghlegholMatn"/>
      </w:pPr>
      <w:r>
        <w:rPr>
          <w:rStyle w:val="Arabi"/>
          <w:rtl w:val="0"/>
          <w:lang w:val="fa-IR"/>
        </w:rPr>
        <w:t xml:space="preserve">و هذا التأویلُ مستبعدٌ جداً إذ المنقولُ عن أفلاطونَ و الأقدَمینَ و تَشنیعاتِ اللاحقینَ مِن أتباعِ أرسطو على مذهبِهم یدلُ على أنَّ تلکَ الصورَ موجودةٌ فی الخارجِ قائمةٌ بِذواتِها لا فی موضوعٍ و محلٍ.</w:t>
      </w:r>
    </w:p>
    <w:p>
      <w:pPr/>
      <w:r>
        <w:rPr>
          <w:rtl w:val="0"/>
          <w:lang w:val="fa-IR"/>
        </w:rPr>
        <w:t xml:space="preserve">[این تأویل بسیار بعید است زیرا آنچه از افلاطون و پیشینیان نقل شده و انتقادات پیروان بعدی ارسطو بر آموزۀ آنها نشان می‌دهد که این صور در خارج وجود دارند؛ به‌تنهایی وجود دارند، نه در یک موضوع یا مکان] چطور اینکه خود شخص در خارج موجود هست این صور هم موجود هستند که ارتباط به نفس ندارد بلکه خود این صورت قائم به ذوات ذى صوره است این صورت جسمى ما قائم به جسم است، آن صورت‌ها قائم به خود ذوات خودشان هستند نه‌اینکه در ذهن و جایى آن صورت‌ها تحقق داشته باشند.</w:t>
      </w:r>
    </w:p>
    <w:p>
      <w:pPr>
        <w:pStyle w:val="NaghlegholMatn"/>
      </w:pPr>
      <w:r>
        <w:rPr>
          <w:rStyle w:val="Arabi"/>
          <w:rtl w:val="0"/>
          <w:lang w:val="fa-IR"/>
        </w:rPr>
        <w:t xml:space="preserve">و قَد نُقِل عنه أنَّه قالَ إنّی رأیتُ عندَ التجرُّدِ أفلاکاً نوریةً و عن هِرمِس أنَّه کانَ یقولُ إنَّ ذاتاً روحانیةً ألقت إلیَّ المعارفِ فَقلتُ مَن أنتَ قالَ أنا طباعُکَ التام.</w:t>
      </w:r>
    </w:p>
    <w:p>
      <w:pPr/>
      <w:r>
        <w:rPr>
          <w:rtl w:val="0"/>
          <w:lang w:val="fa-IR"/>
        </w:rPr>
        <w:t xml:space="preserve">از جناب افلاطون که ایشان فرمودند: من در عالم شهود و مشاهده، افلاک نوریه دیدم. یعنی این فلکی که داریم می‌بینیم در آن ستارگان هست، ما در یک فلک ایشان گیر کردیم چه برسد به افلاک نوری که می‌فرمایید!! هرمس هم که از فلاسفۀ یونان بوده است می‌فرماید: احساس کردم یک حقیقت روحانیه...</w:t>
      </w:r>
    </w:p>
    <w:p>
      <w:pPr/>
      <w:r>
        <w:rPr>
          <w:rtl w:val="0"/>
          <w:lang w:val="fa-IR"/>
        </w:rPr>
        <w:t xml:space="preserve">آن‌وقت شما نگاه کنید آقایان به این مطالب مى‏فرمایند: قِى کرده‏هاى فلاسفه! آخر آدم باید این درد را کجا ببرد؟! کِى ما باید ادب یاد بگیریم؟! کِى باید واقعاً ادب یاد بگیریم؟! ما که دعوى شاگردى امام صادق علیه‌السّلام را مى‏کنیم، اگر امام صادق این مطالب را در زمان خودش مى‏شنید، رو به اصحاب مى‏کرد و مى‏گفت: اینها قى کردۀ افلاطون است؟! این امام صادق ما است؟!</w:t>
      </w:r>
    </w:p>
    <w:p>
      <w:pPr>
        <w:pStyle w:val="SoalMatn"/>
      </w:pPr>
      <w:r>
        <w:rPr>
          <w:rtl w:val="0"/>
          <w:lang w:val="fa-IR"/>
        </w:rPr>
        <w:t xml:space="preserve">تلمیذ:</w:t>
      </w:r>
      <w:r>
        <w:rPr>
          <w:rtl w:val="0"/>
          <w:lang w:val="fa-IR"/>
        </w:rPr>
        <w:t xml:space="preserve"> هرمس شاگرد حضرت ادریس بود.</w:t>
      </w:r>
    </w:p>
    <w:p>
      <w:pPr/>
      <w:r>
        <w:rPr>
          <w:rtl w:val="0"/>
          <w:lang w:val="fa-IR"/>
        </w:rPr>
        <w:t xml:space="preserve">استاد: بله، اصلاً ما به احادیث کار نداریم. البته در روایت راجع به افلاطون</w:t>
      </w:r>
      <w:r>
        <w:rPr>
          <w:rStyle w:val="FootnoteReference"/>
        </w:rPr>
        <w:footnoteReference w:id="3"/>
      </w:r>
      <w:r>
        <w:rPr>
          <w:rtl w:val="0"/>
          <w:lang w:val="fa-IR"/>
        </w:rPr>
        <w:t xml:space="preserve"> و هرمس داریم </w:t>
      </w:r>
      <w:r>
        <w:rPr>
          <w:rStyle w:val="Arabi"/>
          <w:rtl w:val="0"/>
          <w:lang w:val="fa-IR"/>
        </w:rPr>
        <w:t xml:space="preserve">هو رجلٌ موحدٌ الهىٌ</w:t>
      </w:r>
      <w:r>
        <w:rPr>
          <w:rtl w:val="0"/>
          <w:lang w:val="fa-IR"/>
        </w:rPr>
        <w:t xml:space="preserve"> </w:t>
      </w:r>
      <w:r>
        <w:rPr>
          <w:rStyle w:val="Arabi"/>
          <w:rtl w:val="0"/>
          <w:lang w:val="fa-IR"/>
        </w:rPr>
        <w:t xml:space="preserve">کذا...</w:t>
      </w:r>
      <w:r>
        <w:rPr>
          <w:rStyle w:val="FootnoteReference"/>
        </w:rPr>
        <w:footnoteReference w:id="4"/>
      </w:r>
    </w:p>
    <w:p>
      <w:pPr/>
      <w:r>
        <w:rPr>
          <w:rtl w:val="0"/>
          <w:lang w:val="fa-IR"/>
        </w:rPr>
        <w:t xml:space="preserve">ما اصلاً کارى به‏ اینها نداریم و مى‏گوییم که اصلاً یک آدم کافر این حرف‌ها را زد، آیا باید برای این حرف‌ها و این مطالب این تعبیر را آورد؟! بگو: آقا این مسائل اشتباه است، جایى که ما امام صادق را داریم به اشتباه‏ها و خطاهاى آنها نباید متمسک شویم. خیلى خب آن‌وقت صحبت مى‏کنیم که آیا اشتباه است یا نیست؟! چرا تعبیر به استفراغ می‌کنید؟! یا اصلاً معانى کلمات را نمى‏دانید چیست یا ... یعنى امام صادق مى‏آید این‌طور به شما ادب یاد مى‏دهد که از این مطالب بزرگان با این تعبیر یاد کنید؟! ما از امام صادق این را بعید مى‏دانیم.</w:t>
      </w:r>
    </w:p>
    <w:p>
      <w:pPr>
        <w:pStyle w:val="SoalMatn"/>
      </w:pPr>
      <w:r>
        <w:rPr>
          <w:rtl w:val="0"/>
          <w:lang w:val="fa-IR"/>
        </w:rPr>
        <w:t xml:space="preserve">تلمیذ:</w:t>
      </w:r>
      <w:r>
        <w:rPr>
          <w:rtl w:val="0"/>
          <w:lang w:val="fa-IR"/>
        </w:rPr>
        <w:t xml:space="preserve"> در بعض کتب آمده که هرمس همان ادریس پیامبر است.</w:t>
      </w:r>
      <w:r>
        <w:rPr>
          <w:rStyle w:val="FootnoteReference"/>
        </w:rPr>
        <w:footnoteReference w:id="5"/>
      </w:r>
      <w:r>
        <w:rPr>
          <w:rtl w:val="0"/>
          <w:lang w:val="fa-IR"/>
        </w:rPr>
        <w:t xml:space="preserve"> ظاهراً از شیخ طوسی نقل شده است.</w:t>
      </w:r>
    </w:p>
    <w:p>
      <w:pPr/>
      <w:r>
        <w:rPr>
          <w:rtl w:val="0"/>
          <w:lang w:val="fa-IR"/>
        </w:rPr>
        <w:t xml:space="preserve">استاد: بله، البته بنده هم این را شنیده‏ام ولى آنچه که به نظر مى‏رسد قوی‌تر باشد این است که هرمس شاگرد حضرت ادریس بود. علیٰ‌کلّ‌حال یا خودش بوده یا شاگردش بوده است. خب شاگرد نبى هم همین است.</w:t>
      </w:r>
    </w:p>
    <w:p>
      <w:pPr/>
      <w:r>
        <w:rPr>
          <w:rtl w:val="0"/>
          <w:lang w:val="fa-IR"/>
        </w:rPr>
        <w:t xml:space="preserve">هرمس می‌فرماید: احساس کردم یک حقیقت روحانیه... همان روح را دارد مى‏گوید، </w:t>
      </w:r>
      <w:r>
        <w:rPr>
          <w:rtl w:val="0"/>
          <w:lang w:val="fa-IR"/>
        </w:rPr>
        <w:t xml:space="preserve">﴿رُوحٗا مِّنۡ أَمۡرِنَا﴾</w:t>
      </w:r>
      <w:r>
        <w:rPr>
          <w:rtl w:val="0"/>
          <w:lang w:val="fa-IR"/>
        </w:rPr>
        <w:t xml:space="preserve">،</w:t>
      </w:r>
      <w:r>
        <w:rPr>
          <w:rStyle w:val="FootnoteReference"/>
        </w:rPr>
        <w:footnoteReference w:id="6"/>
      </w:r>
      <w:r>
        <w:rPr>
          <w:rtl w:val="0"/>
          <w:lang w:val="fa-IR"/>
        </w:rPr>
        <w:t xml:space="preserve"> </w:t>
      </w:r>
      <w:r>
        <w:rPr>
          <w:rtl w:val="0"/>
          <w:lang w:val="fa-IR"/>
        </w:rPr>
        <w:t xml:space="preserve">﴿وَيَسۡ‍َٔلُونَكَ عَنِ ٱلرُّوحِ قُلِ ٱلرُّوحُ مِنۡ أَمۡرِ رَبِّي﴾</w:t>
      </w:r>
      <w:r>
        <w:rPr>
          <w:rStyle w:val="FootnoteReference"/>
        </w:rPr>
        <w:footnoteReference w:id="7"/>
      </w:r>
      <w:r>
        <w:rPr>
          <w:rtl w:val="0"/>
          <w:lang w:val="fa-IR"/>
        </w:rPr>
        <w:t xml:space="preserve"> در روایات نسبت به تعریف روح داریم: </w:t>
      </w:r>
      <w:r>
        <w:rPr>
          <w:rStyle w:val="Arabi"/>
          <w:rtl w:val="0"/>
          <w:lang w:val="fa-IR"/>
        </w:rPr>
        <w:t xml:space="preserve">هو مَلِکٌ أعلىٰ مِن الملائکة المقربین</w:t>
      </w:r>
      <w:r>
        <w:rPr>
          <w:rtl w:val="0"/>
          <w:lang w:val="fa-IR"/>
        </w:rPr>
        <w:t xml:space="preserve">.</w:t>
      </w:r>
      <w:r>
        <w:rPr>
          <w:rStyle w:val="FootnoteReference"/>
        </w:rPr>
        <w:footnoteReference w:id="8"/>
      </w:r>
    </w:p>
    <w:p>
      <w:pPr/>
      <w:r>
        <w:rPr>
          <w:rtl w:val="0"/>
          <w:lang w:val="fa-IR"/>
        </w:rPr>
        <w:t xml:space="preserve">خلاصه هرمس می‌فرماید: احساس کردم یک حقیقت روحانیه معارف را به من القاء کرده است. </w:t>
      </w:r>
      <w:r>
        <w:rPr>
          <w:rStyle w:val="Arabi"/>
          <w:rtl w:val="0"/>
          <w:lang w:val="fa-IR"/>
        </w:rPr>
        <w:t xml:space="preserve">فقلت مَن أنت</w:t>
      </w:r>
      <w:r>
        <w:rPr>
          <w:rtl w:val="0"/>
          <w:lang w:val="fa-IR"/>
        </w:rPr>
        <w:t xml:space="preserve">؟! </w:t>
      </w:r>
      <w:r>
        <w:rPr>
          <w:rStyle w:val="Arabi"/>
          <w:rtl w:val="0"/>
          <w:lang w:val="fa-IR"/>
        </w:rPr>
        <w:t xml:space="preserve">قال أنا طباعک التام</w:t>
      </w:r>
      <w:r>
        <w:rPr>
          <w:rtl w:val="0"/>
          <w:lang w:val="fa-IR"/>
        </w:rPr>
        <w:t xml:space="preserve">؛ من همان حقیقت انسانیۀ تام تو هستم که همان حقیقت مثال نوری که آن نفس به‌واسطۀ ارتقاء و تجرد طولى به آن مثال نورى خودش که ربط بین خود او و بین پروردگار است مى‏رسد.</w:t>
      </w:r>
    </w:p>
    <w:p>
      <w:pPr>
        <w:pStyle w:val="NaghlegholMatn"/>
      </w:pPr>
      <w:r>
        <w:rPr>
          <w:rStyle w:val="Arabi"/>
          <w:rtl w:val="0"/>
          <w:lang w:val="fa-IR"/>
        </w:rPr>
        <w:t xml:space="preserve">و لو لم یکن لِکلماتِهم دلالة صریحة على أنَّ لِکل نوع موجوداً مجرداً شخصیاً فی العالمِ الإبداعِ لما شَنَعوا علیهم بِما نَقلَه الفارابی مِن أنَّه یجبُ مِن أقوالِهم أن یکونَ فی العقولِ‌ خطوطٌ و سطوحٌ و أفلاکٌ ثُمَّ توجَد حرکات تلکَ الأفلاک و الأدوار.</w:t>
      </w:r>
    </w:p>
    <w:p>
      <w:pPr/>
      <w:r>
        <w:rPr>
          <w:rtl w:val="0"/>
          <w:lang w:val="fa-IR"/>
        </w:rPr>
        <w:t xml:space="preserve">اگر کلمات اینها بر این مسئله دلالت نداشتند که براى هر نوع یک فرد موجود و مجرد و مشخص در عالم هست، شخصى نه‌اینکه فقط ذهنى، [اگر سخنانشان نشانۀ روشنی از وجود انتزاعی و شخصی در دنیا نبود، آنها را به‌خاطر آنچه فارابی گزارش کرده بود، نقد نمی‌کردند] و کلام فارابى دیگر در اینجا جایى نداشت [از گفته‌هایشان] لازم مى‏آید که در عقول [اذهان] خطوط [و صفحه‌ها و کره‌ها باشد و سپس حرکات آن کره‌ها وجود داشته باشد] اینها همه مربوط به عالم خارج هستند. اگر مسئله فقط مسئلۀ ذهنى بود خب اشکال نداشت، در ذهن هم خط هست، سطح هست، اَشکال هست، همۀ اَشکال در ذهن هست و دیگر اِشکالى در اینجا نیست. افلاک، افلاک خارجى است و ما افلاک نورى نداریم.</w:t>
      </w:r>
    </w:p>
    <w:p>
      <w:pPr>
        <w:pStyle w:val="NaghlegholMatn"/>
      </w:pPr>
      <w:r>
        <w:rPr>
          <w:rStyle w:val="Arabi"/>
          <w:rtl w:val="0"/>
          <w:lang w:val="fa-IR"/>
        </w:rPr>
        <w:t xml:space="preserve">و أن یوجَد هناکَ علومٌ مثلُ علمِ النجوم و علمِ اللحون و أصواتٌ مؤتلفةٌ و طبٌ و هندسةٌ و مقادیرُ مستقیمةٌ و آخر َمعوجةٌ و أشیاءُ باردةٌ و أشیاءُ حارةٌ.</w:t>
      </w:r>
    </w:p>
    <w:p>
      <w:pPr/>
      <w:r>
        <w:rPr>
          <w:rtl w:val="0"/>
          <w:lang w:val="fa-IR"/>
        </w:rPr>
        <w:t xml:space="preserve">[و اینکه علومی مانند علم طالع، علم نغمات، اصوات ترکیبی، طب، هندسه، مقادیر مستقیم و سایر چیزهای کج، چیزهای سرد و چیزهای گرم وجود دارد] اضافه بر این در آنجا علومى باشد خب علوم علومى است که در اینجا هست و دوتا که نداریم، یکى اینجا و یکى آن بالا و یکى وسط باشد! مثل علم نجوم و علم اللحون و علم اصوات مؤتلفه و ألحان که از آن تعبیر به موسیقا مى‏شود و طب و هندسه و مقادیر مستقیمه و... و همۀ کیفیات و همۀ اعراض و جواهر در آنجا هم مثل اینجا باشد.</w:t>
      </w:r>
    </w:p>
    <w:p>
      <w:pPr>
        <w:pStyle w:val="NaghlegholMatn"/>
      </w:pPr>
      <w:r>
        <w:rPr>
          <w:rStyle w:val="Arabi"/>
          <w:rtl w:val="0"/>
          <w:lang w:val="fa-IR"/>
        </w:rPr>
        <w:t xml:space="preserve">و بِالجملةِ کیفیةٌ فاعلةٌ و منفعلةٌ و کلیاتٌ و جزویاتٌ و موادٌ و صورٌ فی شناعاتٍ أُخرَ</w:t>
      </w:r>
      <w:r>
        <w:rPr>
          <w:rtl w:val="0"/>
          <w:lang w:val="fa-IR"/>
        </w:rPr>
        <w:t xml:space="preserve">.</w:t>
      </w:r>
    </w:p>
    <w:p>
      <w:pPr/>
      <w:r>
        <w:rPr>
          <w:rtl w:val="0"/>
          <w:lang w:val="fa-IR"/>
        </w:rPr>
        <w:t xml:space="preserve">[به‌طورکلی یک شیوۀ فعال و منفعل وجود دارد و کلیات، اجزا، جوهرها و اشکال در چیزهای دیگر] و بالجمله در آنجا یک کیفیت فاعله و منفعله باشد و همین‌طور کلیات باشد، جزئیات باشد، مواد باشد، صور باشد و همین‌طور در شناعات دیگر که بر این مسئله وارد مى‏شود. تمام اینها ناشى از این مى‏شود که این قضیه‏اى که مربوط به مسئلۀ مثل هست یک واقعۀ خارجى است و اگر یک واقعۀ خارجى نبود شما در ذهن هرچه را هم تصور کنید دیگر مسئلۀ خاصى نیست؛ شما در ذهن مى‏توانید قرمزى را تصور کنید، خط را تصور کنید، اصلاً فلک را در ذهنتان بیاورید. اصلاً همین‌که مى‏گویم، آمد دیگر! فرض کنید سردى را بیاورید و گرمى را بیاورید. چرا نمى‏گویید که دستم سرد شد؟! پس معلوم است سردى و گرمى در ذهن شما هست، اَشکال و اعراض همه در ذهن وجود دارد و اشکالى هم دراین‌صورت پیش نمى‏آید.</w:t>
      </w:r>
    </w:p>
    <w:p>
      <w:pPr/>
      <w:r>
        <w:rPr>
          <w:rtl w:val="0"/>
          <w:lang w:val="fa-IR"/>
        </w:rPr>
        <w:t xml:space="preserve">اینکه الآن بر اینها تشنیع شده این است که اگر این سردى، سردی است که ما حس مى‏کنیم دیگر آن بالا که سردى نیست و معنا ندارد! سردى از حقایق عالم طبع است و چه ارتباطى به عالم مثال و اینها دارد؟! گرمى مربوط به آتش و نار و دخان است که مربوط به اشیاء خارجى است و این گرمى در بالا معنا ندارد، چون در عالم تجردات گرمى معنا ندارد، سردى معنا ندارد، قرمزى معنا ندارد و امثال‌ذلک.</w:t>
      </w:r>
    </w:p>
    <w:p>
      <w:pPr/>
      <w:r>
        <w:rPr>
          <w:rtl w:val="0"/>
          <w:lang w:val="fa-IR"/>
        </w:rPr>
        <w:t xml:space="preserve">به‌خاطر همین قضیه است که گفتند: پس منظور افلاطون ـ ایشان آدمى نبوده که حرف مفت بزند! یک هم‌چنین شخصیتى به این بزرگی و حکیم و ... ـ چه بود؟ پس فارابى [در اینجا] تأویل کرده که منظور [افلاطون] باید عالم ذهن باشد درحالی‌که دیگران مى‏گویند: نه، منظور عالم ذهن نبود. اگر عالم ذهن نبود که خب ما اشکال به این افلاطون نمى‏کردیم، خودش گفته است که آن بالا گرما هست یا افرادى مانند هرمس فرمودند: </w:t>
      </w:r>
      <w:r>
        <w:rPr>
          <w:rStyle w:val="Arabi"/>
          <w:rtl w:val="0"/>
          <w:lang w:val="fa-IR"/>
        </w:rPr>
        <w:t xml:space="preserve">إنَّ ذاتاً روحانیةً ألقت إلیَّ المعارفِ </w:t>
      </w:r>
      <w:r>
        <w:rPr>
          <w:rtl w:val="0"/>
          <w:lang w:val="fa-IR"/>
        </w:rPr>
        <w:t xml:space="preserve">یا مانند خود افلاطون که ایشان مى‏فرماید: افلاک نوریه‏اى را دیدم که آنها خارج از بصر است و خارج از احساس ظاهر است. خب معلوم است ذهن خودش را نمى‏گوید و این دیگر در واقع توجیه</w:t>
      </w:r>
      <w:r>
        <w:rPr>
          <w:rStyle w:val="Arabi"/>
          <w:rtl w:val="0"/>
          <w:lang w:val="fa-IR"/>
        </w:rPr>
        <w:t xml:space="preserve"> بِما لا یرضى صاحبُه </w:t>
      </w:r>
      <w:r>
        <w:rPr>
          <w:rtl w:val="0"/>
          <w:lang w:val="fa-IR"/>
        </w:rPr>
        <w:t xml:space="preserve">مى‏تواند باشد.</w:t>
      </w:r>
    </w:p>
    <w:p>
      <w:pPr/>
      <w:r>
        <w:rPr>
          <w:rtl w:val="0"/>
          <w:lang w:val="fa-IR"/>
        </w:rPr>
        <w:t xml:space="preserve">بعضى‌ها هستند که اصلاً کارشان توجیه است یعنى اصلاً توجیه نه به‌خاطر قصد قربت بلکه وقتى مى‏بینند کسى نقد کرده است از لج او مى‏آید این را توجیه مى‏کند! حالا خودش هم آن را قبول ندارد ولى اصلاً این یک نوع بیمارى است! خب بابا اشکال وارد است، قبول کن، چرا توجیه مى‏کنی؟! توجیه عجیب! یعنى فرض کنید طرف گفته: آب، مى‏گوید: سیب زمینی! آخر بابا آب با سیب زمینى چه ارتباطى دارد؟! یک هم‌چنین مسائلى به‌خصوص در مسائل فقهى و امثال‌ذلک خیلى دیده مى‏شود! خب اشتباه اشتباه است و نقد نقد است! انسان مى‏فهمد که این نقد است و دیگر لازم نیست که همه درست بگویند و همه اشتباه نکنند، همه اشتباه مى‏کنند، حرف درست مى‏زنند، وحى که به ما نیامده است تا صددرصد مطالب‏ ما باید مطالب صحیحى باشد.</w:t>
      </w:r>
    </w:p>
    <w:p>
      <w:pPr>
        <w:pStyle w:val="Heading6"/>
      </w:pPr>
      <w:r>
        <w:rPr>
          <w:rtl w:val="0"/>
          <w:lang w:val="fa-IR"/>
        </w:rPr>
        <w:t xml:space="preserve">تعریف از کتاب توحید علمى و عینی علامه طهرانی</w:t>
      </w:r>
    </w:p>
    <w:p>
      <w:pPr/>
      <w:r>
        <w:rPr>
          <w:rtl w:val="0"/>
          <w:lang w:val="fa-IR"/>
        </w:rPr>
        <w:t xml:space="preserve">تلمیذ:</w:t>
      </w:r>
      <w:r>
        <w:rPr>
          <w:rtl w:val="0"/>
          <w:lang w:val="fa-IR"/>
        </w:rPr>
        <w:t xml:space="preserve"> نسبت به کتاب </w:t>
      </w:r>
      <w:r>
        <w:rPr>
          <w:rtl w:val="0"/>
          <w:lang w:val="fa-IR"/>
        </w:rPr>
        <w:t xml:space="preserve">توحید علمى و عینی</w:t>
      </w:r>
      <w:r>
        <w:rPr>
          <w:rtl w:val="0"/>
          <w:lang w:val="fa-IR"/>
        </w:rPr>
        <w:t xml:space="preserve"> ...</w:t>
      </w:r>
    </w:p>
    <w:p>
      <w:pPr/>
      <w:r>
        <w:rPr>
          <w:rtl w:val="0"/>
          <w:lang w:val="fa-IR"/>
        </w:rPr>
        <w:t xml:space="preserve">استاد: گاهى مزاح هم مى‏فرمودند! این خیلى کتاب عجیبى است. خیلى واقعاً هردوى اینها ـ چه مرحوم کمپانی و چه مرحوم آقاسید احمد ـ چقدر بزرگ بودند و واقعاً آدم بیاید یک هم‌چنین افراد و اشخاصى را مثل مرحوم کمپانى و آقا سید احمدکربلایى که آقا شیخ آغابزرگ طهرانى در کتاب </w:t>
      </w:r>
      <w:r>
        <w:rPr>
          <w:rtl w:val="0"/>
          <w:lang w:val="fa-IR"/>
        </w:rPr>
        <w:t xml:space="preserve">نقباء البشر</w:t>
      </w:r>
      <w:r>
        <w:rPr>
          <w:rtl w:val="0"/>
          <w:lang w:val="fa-IR"/>
        </w:rPr>
        <w:t xml:space="preserve"> دارد:</w:t>
      </w:r>
    </w:p>
    <w:p>
      <w:pPr>
        <w:pStyle w:val="NaghlegholMatn"/>
      </w:pPr>
      <w:r>
        <w:rPr>
          <w:rtl w:val="0"/>
          <w:lang w:val="fa-IR"/>
        </w:rPr>
        <w:t xml:space="preserve">افسوس ما نتوانستیم از این مرد بزرگ استفاده کنیم و حالاتى داشت که کسى از آن حالات اطلاع نداشت.</w:t>
      </w:r>
      <w:r>
        <w:rPr>
          <w:rStyle w:val="FootnoteReference"/>
        </w:rPr>
        <w:footnoteReference w:id="9"/>
      </w:r>
    </w:p>
    <w:p>
      <w:pPr/>
      <w:r>
        <w:rPr>
          <w:rtl w:val="0"/>
          <w:lang w:val="fa-IR"/>
        </w:rPr>
        <w:t xml:space="preserve">با تعبیرات بسیار رکیک از اینها یاد کند که چه؟! یعنى چه؟! یعنى ضعف خودمان را مى‏خواهیم جبران کنیم؟! گربه دستش به گوشت نمى‏رسد مى‏گفت: بو مى‏دهد! ضعف خودمان را مى‏خواهیم جبران کنیم؟! ادب خودمان را مى‏خواهیم برسانیم؟! فرهنگ خودمان را مى‏خواهیم صادر کنیم؟! این فرهنگ را مى‏خواهیم به دنیا صادر کنیم که اى مردم دنیا ببینید که امام ما و امام صادق ما چه ادبى نسبت به افلاطون داشت! چه ادبى نسبت به فلاسفۀ ما داشت! چه ادبى نسبت به علامه طباطبایی داشت! چه ادبى نسبت به مرحوم آقا شیخ محمدحسین کمپانی داشت! بیایید تماشا کنید! واقعاً اینها باید شرم کنند و آن بى اصالتى خودشان را به پاى امام صادق نریزند و از ائمۀ ما خرج نکنند. بله، والاّ پسرش امام زمان ساکت نمى‏نشیند و حساب همه را دستشان مى‏دهد! همین‌طوری هر کسى بخواهد هر چیزى را بگوید و هر حرفى را بزند و خود را مُجاز ببیند براى اینکه در هر جایى بخواهد دخالت کند [نمی‌شود]!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یک مسئله‏اى مدتى است که به ذهن ما رسیده است گفتیم که به رفقا بگوییم ببینیم چه تصمیمى مى‏گیرند. قبلاً بحث‌هاى ما سه‌تا بود و بعد دیدیم که نمى‏توانیم و اصلاً از عهدۀ آن برنمى‏آییم و توانمان بعد از دوتا درس تمام مى‏شد. خب گفتیم که یکى حذف بشود لذا آمدیم چوب را بر سر فقه مظلوم زدیم! البته فقه همیشه مظلوم نبود بلکه فلسفه و حکمت و عرفان مظلوم بودند! به قول مرحوم آقاى قمشه‏اى یک دفعه ایشان در مجلسى مى‏فرمود: زیر هر فرع فقهى دوتا کیسه برنج و یک پیت روغن با یک گوسفند خوابیده است ولى هر فرع فلسفى چوب و تکفیر و امثال‌ذلک هست لذا مى‏توانیم بگوییم که فقه مظلوم نبوده است و خلاصه ما مظلومش کردیم. با توجه به آن دستورى که ما داشتیم طبعاً خب قرار شد که اصول حذف شود و به‌جاى آن فقه بگذاریم منتها به مباحث اصولى که مى‏رسیم یک‌قدرى گسترده‏تر بحث کنیم که همین روش را ادامه دادیم و به این کیفیت در جایى که مسائل فقهى و بحث فقهى ناگزیر به طرح یک مسئلۀ اصولى کشیده‏ مى‏شود که احتمال دارد که با انظار موافق نباشیم آنجا یک‌قدرى بیشتر صحبت مى‏کنیم و تابه‌حال هم این‌طور بوده است که همان نقطۀ اساسى در همین بحث استطاعت برگشت به واجب مطلق و مشروط است و اصلاً به‌طورکلی پنبۀ واجب مشروط زده شد و مسئله به‌صورت دیگرى درآمد و از این قبیل هم هست و حالا هروقت در هر جایى که مسئله مطرح شود آنجا بحث مى‏کنیم. ولى الآن احساس مى‏کنم که با توجه به وضعیتى که ما داریم معمولاً مباحث فقهى ما حالا یا به‌خاطر زیادى صحبت یا دیر آمدن تعطیل مى‏شود.</w:t>
      </w:r>
    </w:p>
    <w:p>
      <w:pPr>
        <w:pStyle w:val="FootnoteText"/>
      </w:pPr>
      <w:r>
        <w:rPr>
          <w:rtl/>
          <w:lang w:val="fa-IR"/>
        </w:rPr>
        <w:t xml:space="preserve">تقریباً حدود یک ماهى است که این مسئله در ذهنم خلجان مى‏کند و با این کیفیت هم نقض غرض مى‏شود لذا گفتم که به رفقا بگویم که اگر برایشان ممکن است جاى فقه و فلسفه را عوض کنیم؛ هردو هست منتها فقه اول بیاید بعد آن فلسفه باشد حالا احتمالاً ممکن است همین قضیه پیش بیاید ولى در اینجا ما دیگر مخالفتى نکرده باشیم چون مرحوم آقا ـ رضوان الله تعالی علیه ـ چند مرتبه به من تأکید کردند که مباحثۀ فقه را داشته باش و من هم در این قضیه مانده‏ام که این اصرار ایشان براى چه بوده است؟! در همان سال آخر حیاتشان دو یا سه بار که بنده را دیدند ـ ما هر دو یا سه ماه یک مرتبه مشرف مى‏شدیم ـ مى‏فرمودند: مباحثۀ فقهى را تا آخر عمرت ترک نکن، حالا نه‌اینکه حتماً خارج باشد، همین عروه، لمعه و امثال‌ذلک. [حالا می‌بینم که] این الآن دارد نقض غرض مى‏شود و از این‌طرف مى‏بینم که بالأخره مباحث فلسفى حرف بیشتر دارد و بعد از یک بحث فقهى [سخت است]. حالا نمى‏دانم این مسئله به چه نحوى انجام بشود! اگر براى رفقا مسئله‏اى نباشد که ما جای اینها را عوض کنیم خب درعین‌حال هردو هست و به نظر مى‏رسد که اگر جا تغییر پیدا کند به‌خاطر کم‌حرف‌تر بودن بحث فقهی، بحث اول سر وقت تمام شود ولى در این فلسفه آن قلت و قلتُ و اشکال زیاد هست. حال اگر رفقا بتوانند بحث‌هایشان را تنظیم کنند ما جایش را عوض کنیم تا حداقل به این حرف‏ آقا گوش کنیم.</w:t>
      </w:r>
    </w:p>
    <w:p>
      <w:pPr>
        <w:pStyle w:val="Heading6"/>
      </w:pPr>
      <w:r>
        <w:rPr>
          <w:rtl w:val="0"/>
          <w:lang w:val="fa-IR"/>
        </w:rPr>
        <w:t xml:space="preserve">غربت اهل فلسفه و عرفان (ت)</w:t>
      </w:r>
    </w:p>
    <w:p>
      <w:pPr>
        <w:pStyle w:val="FootnoteText"/>
      </w:pPr>
      <w:r>
        <w:rPr>
          <w:rtl/>
          <w:lang w:val="fa-IR"/>
        </w:rPr>
        <w:t xml:space="preserve">انسان گاهى در کلمات بزرگان مى‏بیند که خیلى شِکوه و ناله مى‏کنند، همین ملاصدرا در جاى‌جاى اسفار از مظلومیت علم و مظلومیت فهم و ادراک [می‌گوید]. الآن نگاه مى‏کنیم مى‏بینیم واقعاً عجیب است که زمانه هیچ تفاوتى نکرده است! البته کمی تکانى خورده است. واقعاً بین فهم و ادراک و بین تقلید و رفع مسئولیت و تمسک به تخیلات و اوهام و شعارها چقدر فاصله افتاده است؟! انسان احساس مى‏کند هرچه مقدمات را مى‏چیند، مى‏چیند، جلو مى‏آید، همین‌که مى‏خواهد به یک نتیجه برسد، عین ماهى مى‏لغزند و افراد خودشان را از التزام به نتایج مقدمات مبرّا و منزه مى‏کنند! این ملاصدرا و امثال او چقدر احساس غربت مى‏کردند و مى‏گفتند که ما غریب هستیم! غریب! الآن هم همان است و هیچ تفاوتى ندارد و هیچ فرقى نمى‏کند!</w:t>
      </w:r>
    </w:p>
    <w:p>
      <w:pPr>
        <w:pStyle w:val="Heading6"/>
      </w:pPr>
      <w:r>
        <w:rPr>
          <w:rtl w:val="0"/>
          <w:lang w:val="fa-IR"/>
        </w:rPr>
        <w:t xml:space="preserve">نزدیکی مبانى شرع با مبانى فلسفى (ت)</w:t>
      </w:r>
    </w:p>
    <w:p>
      <w:pPr>
        <w:pStyle w:val="FootnoteText"/>
      </w:pPr>
      <w:r>
        <w:rPr>
          <w:rtl w:val="0"/>
          <w:lang w:val="fa-IR"/>
        </w:rPr>
        <w:t xml:space="preserve">اینها همه براى همین است که فهم انسان را باز کند و وقتى فهم باز شد دیگر انسان کولى نمى‏دهد! بله، گفت: با بدنت کار ندارم چون هرچه قوى باشى دیگر از گاو قوی‌تر نیستی، شیرت را مى‏دوشند! هرچه چابک باشى دیگر از اسب چابک‌تر نیستی، سوارت مى‏شوند! آنها با عقل تو کار دارند و با فهم تو کار دارند! این کتاب‌ها آمده عقل را زیاد کند، فهم را زیاد کند، هرچه در مقدمات این مسائل انسان عمق بیشترى پیدا کند کولى دادن او به افراد کمتر مى‏شود و عجیب اینکه انسان هرچه فهمش بیشتر مى‏شود مى‏بیند که مبانى شرع با مبانى فلسفى بیشتر خود را نزدیک مى‏کند و این فاصله را کمتر مى‏کند و هرچه عقل و فهم بیشتر شود این احساس در انسان هست که این احکام شرعى و اعتقادات خودش را با مبانى فلسفى و مبانى عقلانى نزدیک مى‏کند و آشتى بیشتر برقرار مى‏شود و فاصله‌ها همین‌طور کمتر مى‏شود. به‌خاطر همین است که با این درس‌ها و با این فلسفه مخالفت مى‏شود.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49 و 50.</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مطلع انوار</w:t>
      </w:r>
      <w:r>
        <w:rPr>
          <w:rtl w:val="0"/>
          <w:lang w:val="fa-IR"/>
        </w:rPr>
        <w:t xml:space="preserve">، ج 2، ص 277؛ </w:t>
      </w:r>
      <w:r>
        <w:rPr>
          <w:rtl w:val="0"/>
          <w:lang w:val="fa-IR"/>
        </w:rPr>
        <w:t xml:space="preserve">نور ملکوت قرآن</w:t>
      </w:r>
      <w:r>
        <w:rPr>
          <w:rtl w:val="0"/>
          <w:lang w:val="fa-IR"/>
        </w:rPr>
        <w:t xml:space="preserve">، ج 2، ص 225..</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المیزان فی تفسیر القرآن</w:t>
      </w:r>
      <w:r>
        <w:rPr>
          <w:rtl w:val="0"/>
          <w:lang w:val="fa-IR"/>
        </w:rPr>
        <w:t xml:space="preserve">، ج 14، ص 71.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6">
    <w:p>
      <w:pPr>
        <w:pStyle w:val="FootnoteText"/>
      </w:pPr>
      <w:r>
        <w:rPr>
          <w:rStyle w:val="FootnoteReference"/>
        </w:rPr>
        <w:footnoteRef/>
      </w:r>
      <w:r>
        <w:t xml:space="preserve"> </w:t>
      </w:r>
      <w:r>
        <w:rPr>
          <w:rtl w:val="0"/>
          <w:lang w:val="fa-IR"/>
        </w:rPr>
        <w:t xml:space="preserve">. سوره شوریٰ (42) آیه 52. </w:t>
      </w:r>
      <w:r>
        <w:rPr>
          <w:rtl w:val="0"/>
          <w:lang w:val="fa-IR"/>
        </w:rPr>
        <w:t xml:space="preserve">نور ملکوت قرآن</w:t>
      </w:r>
      <w:r>
        <w:rPr>
          <w:rtl w:val="0"/>
          <w:lang w:val="fa-IR"/>
        </w:rPr>
        <w:t xml:space="preserve">، ج 1، ص 245:</w:t>
      </w:r>
    </w:p>
    <w:p>
      <w:pPr>
        <w:pStyle w:val="FootnoteText"/>
      </w:pPr>
      <w:r>
        <w:rPr>
          <w:rtl w:val="0"/>
          <w:lang w:val="fa-IR"/>
        </w:rPr>
        <w:t xml:space="preserve">«[و هم‌چنین ما به سوى تو وحى فرستادیم] روح را که آن از امر ما بود.»</w:t>
      </w:r>
    </w:p>
  </w:footnote>
  <w:footnote w:id="7">
    <w:p>
      <w:pPr>
        <w:pStyle w:val="FootnoteText"/>
      </w:pPr>
      <w:r>
        <w:rPr>
          <w:rStyle w:val="FootnoteReference"/>
        </w:rPr>
        <w:footnoteRef/>
      </w:r>
      <w:r>
        <w:t xml:space="preserve"> </w:t>
      </w:r>
      <w:r>
        <w:rPr>
          <w:rtl w:val="0"/>
          <w:lang w:val="fa-IR"/>
        </w:rPr>
        <w:t xml:space="preserve">. سوره اسراء (17) آیه 85. </w:t>
      </w:r>
      <w:r>
        <w:rPr>
          <w:rtl w:val="0"/>
          <w:lang w:val="fa-IR"/>
        </w:rPr>
        <w:t xml:space="preserve">امام شناسی</w:t>
      </w:r>
      <w:r>
        <w:rPr>
          <w:rtl w:val="0"/>
          <w:lang w:val="fa-IR"/>
        </w:rPr>
        <w:t xml:space="preserve">، ج 12، ص 304:</w:t>
      </w:r>
    </w:p>
    <w:p>
      <w:pPr>
        <w:pStyle w:val="FootnoteText"/>
      </w:pPr>
      <w:r>
        <w:rPr>
          <w:rtl w:val="0"/>
          <w:lang w:val="fa-IR"/>
        </w:rPr>
        <w:t xml:space="preserve">«از تو اى پیامبر، چون از حقیقت روح بپرسند، بگو: روح از امر پروردگار من است.»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۱، ص 456، با قدری اختلاف.</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20. جهت اطلاع بیشتر رجوع شود به </w:t>
      </w:r>
      <w:r>
        <w:rPr>
          <w:rtl w:val="0"/>
          <w:lang w:val="fa-IR"/>
        </w:rPr>
        <w:t xml:space="preserve">طبقات أعلام الشیعة،</w:t>
      </w:r>
      <w:r>
        <w:rPr>
          <w:rtl w:val="0"/>
          <w:lang w:val="fa-IR"/>
        </w:rPr>
        <w:t xml:space="preserve"> ج 1، ص 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