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سی ام</w:t>
      </w:r>
    </w:p>
    <w:p>
      <w:pPr>
        <w:pStyle w:val="Heading5"/>
      </w:pPr>
      <w:r>
        <w:rPr>
          <w:rtl w:val="0"/>
          <w:lang w:val="fa-IR"/>
        </w:rPr>
        <w:t xml:space="preserve">صحبت در کیفیت تصویر مُثُل‏</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قالَ شیخُنا و سَیدنا و مَن إلیه سندنا فی العلومِ أدامَ الله عُلوَّهُ و مجدَه فی بعضِ کُتبِه‌ العقلیةِ أن القضاءَ على ضربین مختلفین علمی و عینی</w:t>
      </w:r>
      <w:r>
        <w:rPr>
          <w:rtl w:val="0"/>
          <w:lang w:val="fa-IR"/>
        </w:rPr>
        <w:t xml:space="preserve">.</w:t>
      </w:r>
      <w:r>
        <w:rPr>
          <w:rStyle w:val="FootnoteReference"/>
        </w:rPr>
        <w:footnoteReference w:id="1"/>
      </w:r>
    </w:p>
    <w:p>
      <w:pPr/>
      <w:r>
        <w:rPr>
          <w:rtl w:val="0"/>
          <w:lang w:val="fa-IR"/>
        </w:rPr>
        <w:t xml:space="preserve">صحبت در کیفیت تصویر مُثل است که چگونه جنبۀ کلى و سعى نسبت به مثل قابل تصور است؟ با توجه به آن مطلبى که اول خدمت رفقا عرض کرده بودم و خیلى هم روى آن مانور دادم و به اَشکال مختلف مسئله را بیان کردم و اول به آن جنبۀ مُحاکاى اعیان خارجى با صور مثالى اشاره کردم و صرفاً تفاوت بین عین خارجى و صورت مثالى را در اطلاع و عدم اطلاع عرض کردم و بین وجود خارجى حالى و وجود خارجى ماضى و وجود خارجى مستقبل تفاوت نگذاشتم و عرض کردم که تفاوت بین آن حقیقت مثالیه و صورت خارجیه فقط در نفس انسان است که انسان بر آن حقیقت مثالیه یا اشراف پیدا مى‏کند یا اشراف پیدا نمى‏کند و این نمى‏تواند دلالت بر اختلاف بین آن دو و عدم یکى از آن دو و وجود دیگرى باشد. در وهلۀ اول در خصوص این مسئله صحبت شد و مطلب دیگرى که از این دقیق‌تر بود را بعد از این بیان کردیم. اگر رفقا متوجه این مسئله باشند، گاهى اوقات بنده براى رسیدن به یک مسئله چند مرحله را طى مى‏کنم.</w:t>
      </w:r>
    </w:p>
    <w:p>
      <w:pPr>
        <w:pStyle w:val="Heading6"/>
      </w:pPr>
      <w:r>
        <w:rPr>
          <w:rtl w:val="0"/>
          <w:lang w:val="fa-IR"/>
        </w:rPr>
        <w:t xml:space="preserve">کیفیت مطرح کردن و تقریب بحث علمی</w:t>
      </w:r>
    </w:p>
    <w:p>
      <w:pPr/>
      <w:r>
        <w:rPr>
          <w:rtl w:val="0"/>
          <w:lang w:val="fa-IR"/>
        </w:rPr>
        <w:t xml:space="preserve">اگر یک مسئلۀ علمى بخواهد ابتدائاً مطرح بشود شاید این قضیه دور از اذهان باشد و براى تقریب به آن باید یک مسافتى طى بشود و بعد پله‌پله بالا برویم تااینکه به آن نقطۀ مورد نظر برسیم. آخرین مسئله‏اى که مطرح شد راجع به عینیت بین حقایق خارجیه و صورت مثالیه بود و آن مرتبۀ آخرى بود که عرض شد که نفس عین خارجى عبارت از همان صورت مثالى است که آن صورت مثالى، ظهور خارجى خود او است نه‌اینکه این حکایت از او بکند؛ مانند حکایتى که دخان از وجود نار مى‏کند که نار یک حقیقت متشخصه و متعینه‏اى است و دخان حقیقت متشخصه و متعینۀ دیگر است گرچه این دو باهم پیوسته و ملازم و قرین هستند، مانند صدایى که از وراء جدار به گوش مى‏رسد و مثلاً حکایت از وجود انسان مى‏کند گرچه صدا در وراء جدار داراى یک حقیقت متشخصه‏اى براى خود است و وجود انسان هم حقیقت متشخصۀ دیگر است و این دو لاینفک هستند یعنى صدا بدون وجود انسان معنا ندارد ولکن این دو با همدیگر متفاوت هستند. مسئله به این نحوه نیست بلکه نفس خود یک واقعیت خارجى عبارت از همان صورت مثالی است که آن صورت مثالى به حقیقت خارجى ظهور پیدا کرده است و این ظهور در تمام مراتب اسماء و صفات به‌نحو کلى و به‌نحو جزئى سریان دارد.</w:t>
      </w:r>
    </w:p>
    <w:p>
      <w:pPr>
        <w:pStyle w:val="Heading6"/>
      </w:pPr>
      <w:r>
        <w:rPr>
          <w:rtl w:val="0"/>
          <w:lang w:val="fa-IR"/>
        </w:rPr>
        <w:t xml:space="preserve">علت لزوم دقت نسبت به مطالب مرحوم میرداماد</w:t>
      </w:r>
    </w:p>
    <w:p>
      <w:pPr/>
      <w:r>
        <w:rPr>
          <w:rtl w:val="0"/>
          <w:lang w:val="fa-IR"/>
        </w:rPr>
        <w:t xml:space="preserve">این مطلبى را که عرض کردم مسئلۀ بسیار مهم و دقیقى است و این بحثى که از امروز راجع به مسئلۀ قضا و قدر شروع مى‏کنیم، در کلام مرحوم صاحب </w:t>
      </w:r>
      <w:r>
        <w:rPr>
          <w:rtl w:val="0"/>
          <w:lang w:val="fa-IR"/>
        </w:rPr>
        <w:t xml:space="preserve">افق مبین </w:t>
      </w:r>
      <w:r>
        <w:rPr>
          <w:rtl w:val="0"/>
          <w:lang w:val="fa-IR"/>
        </w:rPr>
        <w:t xml:space="preserve">مشاهده مى‏شود. البته ایشان مرد بسیار اهل مکاشفه‏اى هم بوده است. مرحوم میرداماد اهل حال و اهل مکاشفه بوده و حالاتى داشته است و لذا از نقطه‌نظر مراتب روحى، از عبارات ایشان مطالبى به‌دست مى‏آید لذا خیلى هم نباید با مطالب ایشان به سادگى برخورد کرد بلکه باید تأمل کرد! البته در توضیح کلام عرض مى‏شود که صاحب </w:t>
      </w:r>
      <w:r>
        <w:rPr>
          <w:rtl w:val="0"/>
          <w:lang w:val="fa-IR"/>
        </w:rPr>
        <w:t xml:space="preserve">افق مبین</w:t>
      </w:r>
      <w:r>
        <w:rPr>
          <w:rtl w:val="0"/>
          <w:lang w:val="fa-IR"/>
        </w:rPr>
        <w:t xml:space="preserve"> بسیار بسیار به این نکته نزدیک شده‏اند گرچه نسبت به آخرین نقطه‏اى که مورد نظر ما است، مطلب را ناتمام گذاشته‏اند یا یک مسئله‌ای بوده است علیٰ‌کلّ‌حال ایشان خیلی با این مطلب جلو آمده‏اند. این نکته همان نکته‏اى است که انسان مى‏تواند سریان اسماء و صفات کلیه را در جزئیات خارجیه و در حقایق خارجى کاملاً احساس کند و این دوئیت را از میان بردارد و این فاصله را کم و حذف نماید و حقیقت ظهور را کاملاً ادراک کند.</w:t>
      </w:r>
    </w:p>
    <w:p>
      <w:pPr>
        <w:pStyle w:val="Heading6"/>
      </w:pPr>
      <w:r>
        <w:rPr>
          <w:rtl w:val="0"/>
          <w:lang w:val="fa-IR"/>
        </w:rPr>
        <w:t xml:space="preserve">معنای ظهور در السنۀ بزرگان</w:t>
      </w:r>
    </w:p>
    <w:p>
      <w:pPr/>
      <w:r>
        <w:rPr>
          <w:rtl w:val="0"/>
          <w:lang w:val="fa-IR"/>
        </w:rPr>
        <w:t xml:space="preserve">اینکه مکرر در عبارات و السنۀ بزرگان، ظهور، ظاهر، مظهَر و مُظهر مشاهده مى‏کنید چه واقعیتى است که مى‏خواهد نشان داده شود؟ مى‏خواهند چه حقیقتى را تبیین و توضیح بدهند؟ آیا این به معناى حکایت است یا به معناى حضور است؟ ظهور به معناى حضور است؛ </w:t>
      </w:r>
      <w:r>
        <w:rPr>
          <w:rStyle w:val="Arabi"/>
          <w:rtl w:val="0"/>
          <w:lang w:val="fa-IR"/>
        </w:rPr>
        <w:t xml:space="preserve">حضور الشی‏ء</w:t>
      </w:r>
      <w:r>
        <w:rPr>
          <w:rtl w:val="0"/>
          <w:lang w:val="fa-IR"/>
        </w:rPr>
        <w:t xml:space="preserve">، حضور خود </w:t>
      </w:r>
      <w:r>
        <w:rPr>
          <w:rStyle w:val="Arabi"/>
          <w:rtl w:val="0"/>
          <w:lang w:val="fa-IR"/>
        </w:rPr>
        <w:t xml:space="preserve">حقیقة الشی‏ء</w:t>
      </w:r>
      <w:r>
        <w:rPr>
          <w:rtl w:val="0"/>
          <w:lang w:val="fa-IR"/>
        </w:rPr>
        <w:t xml:space="preserve"> در این واقعۀ خارجی. وقتى که شمس طلوع مى‏کند خب طبعاً ظهور شمس عبارت از وجود شمس در آن مواقف و امکنۀ مختلفه است اما این حضور شمس در آنجا به‌عنوان حضور با تمام آن محدودیت و امکانات و استعداد نیست والاّ یک اتاق سه در چهار که نمى‏تواند یک هم‌چنین عظمتى را در خود جاى بدهد! طبعاً به میزان حصۀ خودش، آن حضور را قبول مى‏کند و در قبول آن حضور، تبدیل به ظهور آن شمس مى‏شود و آن ظهور خارجى در اینجا مجسم و ملموس مى‏شود. این نکته نکتۀ بسیار مهمى است، نکتۀ مهم در اینجا این است که انسان حقیقت ظهور را به‌واسطۀ این قضیه ادراک مى‏کند.</w:t>
      </w:r>
    </w:p>
    <w:p>
      <w:pPr/>
      <w:r>
        <w:rPr>
          <w:rtl/>
          <w:lang w:val="fa-IR"/>
        </w:rPr>
        <w:t xml:space="preserve">در اینجا بحث از مثل افلاطونى در کلام مرحوم میرداماد به این نحوه حقیقت خودش را نشان مى‏دهد و این را برملا مى‏کند که کیفیت تحقق مثل افلاطونى و اعیان خارجی، همان کیفیت تحقق وجوه قضاء کلى الهى و قدرى است که براى آن قضای کلى ترسیم مى‏شود. وقتى که یک قضاء کلى الهى براى ایجاد و خلق زید مى‏آید، این قضاء یک امر کلى است که داراى جنبۀ سعى است و مى‏تواند هر ماهیتى را در خودش جای‏ بدهد. ولى وقتى که این قضاء که عبارت از یک ماهیتى است که آن ماهیت مى‏تواند اَشکال مختلف داشته باشد و حتى مى‏تواند خصوصیات و صفات مختلف داشته باشد، وقتى که مى‏خواهد در خارج تحقق پیدا کند طبعاً نمى‏تواند با خصوصیات، صفات، ملکات و غرائض مبهمه در خارج تحقق پیدا کند بلکه در قالب‏هاى مختلفى که تقدیر مى‏شود شکل پیدا مى‏کند و آن حقیقت کلى و سعى مرتباً مقید مى‏شود؛ اولاً وارد این مسئله مى‏شود که این زید باید در فلان قبیله تولد پیدا کند، پس سایر قبایل کنار مى‏روند و این خودش قَدَرى بر قضاء الهى می‌شود که در اینجا تقدیر شده است، بعد هم از آن قبیله وارد در فلان خانواده مى‏شود و دوباره مى‏بینید که در اینجا یک بُرشى خورد و سایر خانواده‏ها کنار رفتند و دوباره در اینجا قَدَرى روى قدر قبلى آمد و شکل پیدا کرد. دوباره از آن خانوادۀ بزرگ، یک خانوادۀ کوچک انتخاب مى‏شود و بعد از آن خانوادۀ کوچک‌تر دو فرد تعیین مى‏شوند و این دو باهم ازدواج مى‏کنند و همین‌طور دائماً در طول ازدواج تقدیر مى‏خورد مثلاً غذاهایى که زن در این مدت مى‏خورد، نحوۀ زیست، حیات و حرکات او، همه هرکدام [به قضاء کلی] شکل مى‏دهد تااینکه وقتى که آن زید متولد مى‏شود مشاهده مى‏کنیم که داراى شکل و صفات و غرائض خاصى است. این قضاء الهى بر وجود زید از اول براى ما مشخص نیست ولى وقتى که همان قضاء پایین و پایین می‌آید [معلوم مى‏شود]. لذا وقتى که به روایات هم در این زمینه نگاه مى‏کنیم این مطلب را مشاهده مى‏کنیم؛ در روایاتى که مربوط به بداء است و مربوط به مباحث کلامى است، این مطلب را مشاهده مى‏کنیم. حتى مى‏توانیم این را یک بحث فلسفى کنیم یعنى مى‏توانیم به مسئلۀ بداء جنبۀ عینى و فلسفى بدهیم که چطور این مسئلۀ قضاء مبرم الهی به قدرهاى مختلف تبدیل مى‏شود و در آخر آنچه که در خارج تحقق پیدا مى‏کند نمونۀ قضاء الهی مى‏شود منتها در اینجا این مسئله‏ براى ما مشخص نیست ولیکن این مسئله و این قضیه در عالم اعیان و علم عنائى حق مشخص است.</w:t>
      </w:r>
    </w:p>
    <w:p>
      <w:pPr>
        <w:pStyle w:val="Heading6"/>
      </w:pPr>
      <w:r>
        <w:rPr>
          <w:rtl w:val="0"/>
          <w:lang w:val="fa-IR"/>
        </w:rPr>
        <w:t xml:space="preserve">عدم وجود ابهام در امور الهی</w:t>
      </w:r>
    </w:p>
    <w:p>
      <w:pPr/>
      <w:r>
        <w:rPr>
          <w:rtl w:val="0"/>
          <w:lang w:val="fa-IR"/>
        </w:rPr>
        <w:t xml:space="preserve">مقصود بنده این نیست که آن مسئلۀ کلى، اول به‌نحو ابهام ایجاد مى‏شود و بعد آن ابهام تبدیل به تفصیل مى‏شود که ایجاد ابهام </w:t>
      </w:r>
      <w:r>
        <w:rPr>
          <w:rStyle w:val="Arabi"/>
          <w:rtl w:val="0"/>
          <w:lang w:val="fa-IR"/>
        </w:rPr>
        <w:t xml:space="preserve">أمرٌ ممتنعٌ عقلاً</w:t>
      </w:r>
      <w:r>
        <w:rPr>
          <w:rtl w:val="0"/>
          <w:lang w:val="fa-IR"/>
        </w:rPr>
        <w:t xml:space="preserve">. چه آن امر مبهم بخواهد در خارج و توسط ما تحقق پیدا کند و چه بخواهد توسط بارى تحقق پیدا کند، هردو ممتنع است زیرا نفس ابهام عبارت از عدم تشخّص است </w:t>
      </w:r>
      <w:r>
        <w:rPr>
          <w:rStyle w:val="Arabi"/>
          <w:rtl w:val="0"/>
          <w:lang w:val="fa-IR"/>
        </w:rPr>
        <w:t xml:space="preserve">و الوجودُ هو الشَّخصیةُ و التشخّصِ و التعیّنِ و العینیّة و </w:t>
      </w:r>
      <w:r>
        <w:rPr>
          <w:rtl w:val="0"/>
          <w:lang w:val="fa-IR"/>
        </w:rPr>
        <w:t xml:space="preserve">این دو در مقابل هم هستند. پس چگونه مى‏شود که آن ماهیت متصورۀ مبهمه که تشخّص ندارد در عین ابهام، تشخّص خارجى و تشخّص وجودى پیدا کند؟! بارى تعالى نمى‏تواند یک هم‌چنین کارى را بکند چه برسد به غیر باری! این مسئله مسئله‏اى است که قابل دقت است!</w:t>
      </w:r>
    </w:p>
    <w:p>
      <w:pPr>
        <w:pStyle w:val="Heading6"/>
      </w:pPr>
      <w:r>
        <w:rPr>
          <w:rtl w:val="0"/>
          <w:lang w:val="fa-IR"/>
        </w:rPr>
        <w:t xml:space="preserve">معنای قضای علمی و عینی</w:t>
      </w:r>
    </w:p>
    <w:p>
      <w:pPr/>
      <w:r>
        <w:rPr>
          <w:rtl w:val="0"/>
          <w:lang w:val="fa-IR"/>
        </w:rPr>
        <w:t xml:space="preserve">مرحوم میرداماد مسئلۀ مثل افلاطونى را به این مسئله تشبیه مى‏کنند و مى‏فرمایند که یک حقیقت کلى داریم که این حقیقت کلى عبارت از قضاء الهی است؛ مثل وجود انسان و وجود زید. وقتی این قضاء کلى در مرحلۀ [علم عنائی پروردگار است]، به آن قضاء علمى مى‏گویند که کیفیت خود آن حقیقت خارجیه به صورت علمى تحقق پیدا مى‏کند و بعد در خارج که مى‏آید، آن حقیقت علمى جنبۀ عینى پیدا مى‏کند یعنى آن واقعیت علمى تبدیل به عینى مى‏شود و در بستر قدر، اندازه پیدا مى‏کند و شکل مى‏گیرد و آن خصوصیات خودش در آنجا متشخص مى‏شود.</w:t>
      </w:r>
    </w:p>
    <w:p>
      <w:pPr/>
      <w:r>
        <w:rPr>
          <w:rtl w:val="0"/>
          <w:lang w:val="fa-IR"/>
        </w:rPr>
        <w:t xml:space="preserve">مطلبى که در اینجا هست این است که ما باید سؤال کنیم ـ البته اینکه من دارم عرض مى‏کنم قضاوت عجولانۀ قبل از ورود در بحث است ولکن دوباره در اینجا مى‏بینم که اگر این مسئله را بگویم بد نیست ـ آیا در قضاء علمى نفس خود آن تغییرات و تبدلات هست یا نیست؟ آیا در قضاء علمى خود آن تشخّص خارجى وجود دارد یا ندارد؟ این نکته‏اى است که بزنگاه مطلب ما است و باید به این نکته توجه داشته‏ باشیم که در این قضاء که جنبۀ علمى دارد، این علم به چه چیزى تعلق گرفته است؟! در اینجا معلوم ما چیست؟! آن معلوم بالعرض ما در اینجا چه خواهد بود؟! خب معلوم بالذات همان حقیقت علمیه‌ای است که لازمۀ ذات بارى است اما در اینجا معلوم بالعرض چیست؟ آیا بالعرض در اینجا سِعى و کلى است؟ در اینجا جنبۀ سعى نمى‏تواند تشخّص داشته باشد! پس آن علم بارى به چه چیزى تعلق گرفته است؟! علم بارى که نمى‏تواند به یک امر مبهم تعلق بگیرد! علم، معلوم بالذات خارجى مى‏خواهد! عالم به‌واسطۀ حقیقت علمیۀ ذاتیۀ خودش با آن علمیۀ بالعرض خارجى اتصال پیدا مى‏کند. اینکه الآن می‌خواهد آن معلوم را تصور کند، آن معلوم چیست که مى‏خواهد آن را تصور کند؟! اگر معلوم در خارج باز علم است که علم در اینجا به خود علم تعلق نمى‏گیرد! اگر معلوم در اینجا عین خارجى است، عین خارجى که تشخّص مى‏خواهد و تشخّص جزئیت مى‏خواهد! البته نه جزئیتِ درقبال کلیت که محدودیت باشد بلکه جزئیت به‌عنوان وحدت، زیرا در آن حقیقت وجودیۀ بارى هم تشخّص هست اما جزئیت در آنجا نیست، جزئیت در اینجا به‌عنوان وحدت است نه جزئیت درقبال کلیت و سعه و عدم اطلاق! یعنى منافاتى بین وجود مطلقه و لایتناهى و جزئیت نیست که در اینجا مقصود از جزئیت همان تشخّص و وحدت است. خب در اینجا این معلوم بالعرض خارجى چیست؟ این مسئله مسئله‏اى است که باید روى آن فکر کرد.</w:t>
      </w:r>
    </w:p>
    <w:p>
      <w:pPr/>
      <w:r>
        <w:rPr>
          <w:rtl/>
          <w:lang w:val="fa-IR"/>
        </w:rPr>
        <w:t xml:space="preserve">مرحوم میرداماد در اینجا به‌واسطۀ کیفیت قضاء و قدر خواسته‏اند آن مسئله مُثل را به یک نحوى حل کنند البته خود مرحوم صدرالمتألهین مى‏خواهند از این موضوع استفاده کنند ولى با آن بیانى که ما داشتیم عرض شد که حقیقت علمیه، یک حقیقت واحده بیشتر نیست و همان معلوم خارجى است که در علم عنائى حق به‌عنوان حقیقت علمیه که لازمۀ ذات است در آنجا از آزال و آباد بوده است. این مقدمه‏اى بود که عرض کردیم تا إن‌شاءالله بحث آن را بعداً [بیان کنیم].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