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سی و یکم</w:t>
      </w:r>
    </w:p>
    <w:p>
      <w:pPr>
        <w:pStyle w:val="Heading5"/>
      </w:pPr>
      <w:r>
        <w:rPr>
          <w:rtl w:val="0"/>
          <w:lang w:val="fa-IR"/>
        </w:rPr>
        <w:t xml:space="preserve">بحث بداء</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قال شیخنا و سیدنا و مَن إلیه سَندُنا فی العلوم القضاء.</w:t>
      </w:r>
      <w:r>
        <w:rPr>
          <w:rStyle w:val="FootnoteReference"/>
        </w:rPr>
        <w:footnoteReference w:id="1"/>
      </w:r>
    </w:p>
    <w:p>
      <w:pPr/>
      <w:r>
        <w:rPr>
          <w:rtl w:val="0"/>
          <w:lang w:val="fa-IR"/>
        </w:rPr>
        <w:t xml:space="preserve">بحث دربارۀ ترسیم مثل افلاطونى بود و هم‌چنین در تأییدات و توجیهاتى که مرحوم آخوند از کلام بزرگان مثل کلام مرحوم شیخ در </w:t>
      </w:r>
      <w:r>
        <w:rPr>
          <w:rtl w:val="0"/>
          <w:lang w:val="fa-IR"/>
        </w:rPr>
        <w:t xml:space="preserve">شفاء</w:t>
      </w:r>
      <w:r>
        <w:rPr>
          <w:rtl w:val="0"/>
          <w:lang w:val="fa-IR"/>
        </w:rPr>
        <w:t xml:space="preserve"> و همین‌طور شیخ اشراق و مرحوم میرداماد در </w:t>
      </w:r>
      <w:r>
        <w:rPr>
          <w:rtl w:val="0"/>
          <w:lang w:val="fa-IR"/>
        </w:rPr>
        <w:t xml:space="preserve">افق مبین</w:t>
      </w:r>
      <w:r>
        <w:rPr>
          <w:rtl w:val="0"/>
          <w:lang w:val="fa-IR"/>
        </w:rPr>
        <w:t xml:space="preserve"> ذکر کردند.</w:t>
      </w:r>
    </w:p>
    <w:p>
      <w:pPr>
        <w:pStyle w:val="Heading6"/>
      </w:pPr>
      <w:r>
        <w:rPr>
          <w:rtl w:val="0"/>
          <w:lang w:val="fa-IR"/>
        </w:rPr>
        <w:t xml:space="preserve">تضاد ابهام با تشخّص</w:t>
      </w:r>
    </w:p>
    <w:p>
      <w:pPr/>
      <w:r>
        <w:rPr>
          <w:rtl w:val="0"/>
          <w:lang w:val="fa-IR"/>
        </w:rPr>
        <w:t xml:space="preserve">یک بیانى مرحوم میرداماد دارد که بسیار بیان دقیقى است البته شاید بعضى از مواردی داشته باشد که مورد ابهام باشد، حداقل در نظر ما [این‌طور] باشد و شاید براى خود ایشان مسئله این‌طور نبوده که با آن بیان مى‏شود مطلب نسبت به مثل افلاطونى توجیه پیدا کند و آن کیفیت ترسیم بین قضاى الهى و قدر است. آنچه که تابه‌حال براى ما در این مسئله مسموع بوده است این است که قضاى الهى یک مسئلۀ مبهم است که خصوصیت ابهام آن همان عدم تعین و عدم تشخّص است. چون هر چیزى که صفت ابهام بر او صادق باشد طبعاً نمى‏تواند متشخص باشد. تشخّص مساوى با وجود است و وجود مساوى با تعین است و تعین مساوى با ظهور است و ظهور مساوى با نور است! همۀ اینها در یک سطح هستند و نمى‏شود یک چیز متشخص باشد ولى درعین‌حال مبهم باشد کمااینکه نمى‏شود یک شی‏ء مبهم باشد ولى ظاهر نباشد.</w:t>
      </w:r>
    </w:p>
    <w:p>
      <w:pPr>
        <w:pStyle w:val="Heading6"/>
      </w:pPr>
      <w:r>
        <w:rPr>
          <w:rtl w:val="0"/>
          <w:lang w:val="fa-IR"/>
        </w:rPr>
        <w:t xml:space="preserve">کیفیت تعیّن باری تعالی</w:t>
      </w:r>
    </w:p>
    <w:p>
      <w:pPr>
        <w:pStyle w:val="Heading6"/>
      </w:pPr>
      <w:r>
        <w:rPr>
          <w:rtl w:val="0"/>
          <w:lang w:val="fa-IR"/>
        </w:rPr>
        <w:t xml:space="preserve">لزوم ادراک تعیّن واحد با شهود</w:t>
      </w:r>
    </w:p>
    <w:p>
      <w:pPr/>
      <w:r>
        <w:rPr>
          <w:rtl w:val="0"/>
          <w:lang w:val="fa-IR"/>
        </w:rPr>
        <w:t xml:space="preserve">از این بیان استفاده مى‏شود که چطور اسم ظاهر به اشدّ و اتمّ معانى و مفاهیم و حقیقت خارجیۀ خود براى وجود بارى تعالى صادق است، زیرا هیچ تشخصى قوی‌تر و هیچ تعینى متعین‏تر از تعین وجود بارى تعالى نیست و آن تعین، تعینِ اطلاقى، لامتناهى، سعه‏اى، شمولى و عام است به حیثى که </w:t>
      </w:r>
      <w:r>
        <w:rPr>
          <w:rStyle w:val="Arabi"/>
          <w:rtl w:val="0"/>
          <w:lang w:val="fa-IR"/>
        </w:rPr>
        <w:t xml:space="preserve">لا یشذُّ عن حیطةِ تعیُّنِه شی‏ء</w:t>
      </w:r>
      <w:r>
        <w:rPr>
          <w:rtl w:val="0"/>
          <w:lang w:val="fa-IR"/>
        </w:rPr>
        <w:t xml:space="preserve"> به این نحوه از تعین یک تعین بیشتر نداریم گرچه فهم و ادراک این مسئله جز با رؤیت دل و با شهود باطن امکان ندارد. انسان یک تصوراتى در اینجا مى‏کند ولکن آن مسئلۀ باطن یک مطلب و مسئله دیگرى است.</w:t>
      </w:r>
    </w:p>
    <w:p>
      <w:pPr>
        <w:pStyle w:val="Heading6"/>
      </w:pPr>
      <w:r>
        <w:rPr>
          <w:rtl w:val="0"/>
          <w:lang w:val="fa-IR"/>
        </w:rPr>
        <w:t xml:space="preserve">کیفیت قضاء و بداء</w:t>
      </w:r>
    </w:p>
    <w:p>
      <w:pPr/>
      <w:r>
        <w:rPr>
          <w:rtl w:val="0"/>
          <w:lang w:val="fa-IR"/>
        </w:rPr>
        <w:t xml:space="preserve">حالا صحبت در این است که این قضاى الهى آیا تعین خاص و تشخّص خاص است یااینکه یک امر مبهم و بدون هیچ جهتى هست؟! میل پروردگار و ارادۀ او تعلق گرفته است بر اینکه یک مصیبتى فرض کنید بر این بنده بیاید، همین به‌نحو کلى، حالا در آن مقام میل و اراده، نفس خصوصیت آن مصیبت لحاظ نشده است که آیا این مصیبت حصبه است یااینکه درد کمر است، شکستگى پا و سر و استخوان است یااینکه بیمارى کبد و قلب است یااینکه مصیبت ازدست دادن عزیزى است و امثال‌ذلک، و خصوصیت این مسئله لحاظ نشده است. این مسئله‏اى که عرض مى‏کنم خود بنده شنیده‏ام از خیلى افرادى که متصدى این مطالب هم هستند شنیده‌ام و همیشه این قضیه براى من جاى سؤال داشت از همان سابق که چطور در فرق بین قضاى الهى ما این مسئله را مشاهده مى‏کنیم که قضاى الهى یک مسئلۀ مبهمى است. مگر در همان‌جا نمى‏شود خود خصوصیت قضاء آن مصداق هم در آنجا ترسیم بشود؟! [نمی‌شود] همان مصداق خارجى هم در مسئلۀ قضاى الهى در آنجا شکل بگیرد؟! این چه مسئله‏اى است که براى تحقق خارج باید مراتب علمیۀ مختلفى تصور کنیم؛ اول یک مسئلۀ کلى بعد این نزول پیدا کند جزئى‏تر شود همین‌طور جزئى‏تر و جزئى‏تر تااینکه آنچه که در خارج تحقق پیدا مى‏کند ما اسم آن را قَدَر مى‏گذاریم، قَدَر یعنى اندازه! فرض کنید قضاى الهى بر این است که پاى این بشکند و چلاق شود و دیگر بلند نشود و خلق خدا ازدست او راحت شوند! اما اینکه حالا مى‏خواهد پایش بشکند از زانو بشکند یا از این وسط بشکند یا از این پا بشکند، این دیگر نیست؛ همین‌قدر پاى این بشکند و در خانه بیافتد و یک مدتى هم خودش راحت بشود هم بقیه ازدست او راحت شوند! این مقدار را قضاء مى‏گویند.</w:t>
      </w:r>
    </w:p>
    <w:p>
      <w:pPr/>
      <w:r>
        <w:rPr>
          <w:rtl w:val="0"/>
          <w:lang w:val="fa-IR"/>
        </w:rPr>
        <w:t xml:space="preserve">اما این که فرض کنید این ملائکه که دارند این قضاء را نازل مى‏کنند در این وسط با مسائلى که برخورد مى‏کند با حوادثى که براى او پیدا مى‏شود همین‌طور کم‌کم این قَدَر پیدا مى‏کند اول فرض کنید مى‏خورد به این نیمۀ ساق، حالا در این کیفیت بالاتر و پایین‏تر مجالسى که در اینجا ممکن است تشکیل شود، ارتباطاتى که ممکن است پیدا شود، دعایى پشت سر او باشد، نفرینى پشت سر او باشد، اینها همه باهم ضمّ و ضمیمه مى‏شوند تااینکه در اخیر این قضاء [به او] مى‏خورد و از یک‏جا مى‏افتد و این کاسۀ زانوى او ترک برمى‏دارد و مى‏گویند: باید که براى چند ماه پایت را حرکت ندهی. خب این نحوۀ نزولى که در اینجا آمده است دیگر اسمش را بداء گذاشتند، حالا راجع به بداء هم صحبت مى‏شود چون ایشان در این زمینه وارد شدند، البته ایشان راجع به بداء صحبت نمى‏کنند.</w:t>
      </w:r>
    </w:p>
    <w:p>
      <w:pPr/>
      <w:r>
        <w:rPr>
          <w:rtl w:val="0"/>
          <w:lang w:val="fa-IR"/>
        </w:rPr>
        <w:t xml:space="preserve">حالا یک مقدارى بحث بداء را به‌واسطۀ لازمۀ مبحث طرح مى‏کنیم که اصلاً اصل بداء چیست و این حقیقت بداء چیست و اینکه در لسان ائمه علیهم‌السّلام و در بعضى از روایات هست که مسئلۀ بداء فقط «</w:t>
      </w:r>
      <w:r>
        <w:rPr>
          <w:rStyle w:val="RevayatArabi"/>
          <w:rtl w:val="0"/>
          <w:lang w:val="fa-IR"/>
        </w:rPr>
        <w:t xml:space="preserve">علمٌ مکنونٌ مخزونٌ فى ذات الله تعالی»</w:t>
      </w:r>
      <w:r>
        <w:rPr>
          <w:rStyle w:val="FootnoteReference"/>
        </w:rPr>
        <w:footnoteReference w:id="2"/>
      </w:r>
      <w:r>
        <w:rPr>
          <w:rtl w:val="0"/>
          <w:lang w:val="fa-IR"/>
        </w:rPr>
        <w:t xml:space="preserve"> و یا «</w:t>
      </w:r>
      <w:r>
        <w:rPr>
          <w:rStyle w:val="RevayatArabi"/>
          <w:rtl w:val="0"/>
          <w:lang w:val="fa-IR"/>
        </w:rPr>
        <w:t xml:space="preserve">لولا البداء لأخبرتکم إلى یوم القیامة</w:t>
      </w:r>
      <w:r>
        <w:rPr>
          <w:rtl w:val="0"/>
          <w:lang w:val="fa-IR"/>
        </w:rPr>
        <w:t xml:space="preserve">»</w:t>
      </w:r>
      <w:r>
        <w:rPr>
          <w:rStyle w:val="FootnoteReference"/>
        </w:rPr>
        <w:footnoteReference w:id="3"/>
      </w:r>
      <w:r>
        <w:rPr>
          <w:rtl w:val="0"/>
          <w:lang w:val="fa-IR"/>
        </w:rPr>
        <w:t xml:space="preserve"> اینها یعنى چه؟ این روایات حکایت از این مى‏کنند که مسئلۀ بداء یک واقعیت مکنونى است که فقط به ذات پروردگار برمى‏گردد و به اراده و مشیت او برمى‏گردد؛ یعنى این قضیه‌ای هست که از نقطه‌نظر علمى در ذات پروردگار منحصر است؟! اینجا صحبت دارد. همین‌طور روایاتى که دلالت بر احاطۀ علمى بر مشیت و بر جریان مشیت دارند؛ چطور مى‏تواند این قضیه وفق بکند با آن روایاتى که مى‏فرمایند: هیچ چیز از ما مخفى نیست؟!</w:t>
      </w:r>
      <w:r>
        <w:rPr>
          <w:rStyle w:val="FootnoteReference"/>
        </w:rPr>
        <w:footnoteReference w:id="4"/>
      </w:r>
      <w:r>
        <w:rPr>
          <w:rtl w:val="0"/>
          <w:lang w:val="fa-IR"/>
        </w:rPr>
        <w:t xml:space="preserve"> خب خود این بداء هم جزو این مطالب هست و به‌اصطلاح از اینها خارج نیست! اینها مطالبى است که خوب است نسبت به آن صحبت شود.</w:t>
      </w:r>
    </w:p>
    <w:p>
      <w:pPr/>
      <w:r>
        <w:rPr>
          <w:rtl w:val="0"/>
          <w:lang w:val="fa-IR"/>
        </w:rPr>
        <w:t xml:space="preserve">مرحوم آخوند در مجلدات دیگر راجع به این مسئله صحبت مى‏کنند ظاهراً در جلد هفت یا هشت است که راجع به مسئلۀ کیفیت تحقق علم در آنجا صحبت دارند. اگر بشود بحث را به تأخیر انداخت، می‌اندازیم والاّ مباحث را در همین کلمات مرحوم میرداماد خواهیم آورد.</w:t>
      </w:r>
    </w:p>
    <w:p>
      <w:pPr/>
      <w:r>
        <w:rPr>
          <w:rtl w:val="0"/>
          <w:lang w:val="fa-IR"/>
        </w:rPr>
        <w:t xml:space="preserve">این مسئله همیشه براى ما جاى شبهه بوده است که این مسئله را چگونه مى‏شود ترسیم کرد؟! شما یک حقیقت علمیه را در ذات بارى ترسیم کنید و اسمش را لوح محفوظ بگذارید، بعد یک مرتبۀ دیگر در آنجا [ترسیم کنید] اسمش را لوح محو و اثبات بگذارید که مقام قدر است، آن لوح محفوظ نسبت به قضایاى کلى است ولکن در مقام نزول این ممکن است حد بخورد، تراش بخورد، کم بشود، زیاد شود و شکل پیدا کند مانند همان حقیقت وجود بسیط که مى‏آید و حدّ مى‏خورد و شکل پیدا مى‏کند؛ وجودى که شکل ندارد شکل پیدا مى‏کند، وجودى که رنگ ندارد رنگ پیدا مى‏کند، وجودى که حد ندارد حد پیدا مى‏کند، وجودى که قالب ندارد قالب پیدا مى‏کند. وقتى که یک وجود، وجود بسیط است در حق تعالى دیگر قالب چه معنایى مى‏تواند داشته باشد؟! رنگ و شکل و اعراض چه جایگاهى مى‏توانند داشته باشند؟! آن وجود بسیط است حتى بسیط از مجرد و ماده است. یعنى وجودی است که می‌تواند در آنِ واحد ـ توجه کنید! ـ آن وجود مى‏تواند و یک نحوه‏اى از تجرد دارد ـ غیر از آن تجرد اصطلاحى که متدوال السنۀ اعلام است ـ که در عین تجردش ماده را هم دربرمى‏گیرد و شامل مى‏شود! این چه تجردى است که در عین تجرد، ماده را هم شامل مى‏شود؟!</w:t>
      </w:r>
    </w:p>
    <w:p>
      <w:pPr/>
      <w:r>
        <w:rPr>
          <w:rtl w:val="0"/>
          <w:lang w:val="fa-IR"/>
        </w:rPr>
        <w:t xml:space="preserve">الآن شما در وجود خودتان حقایق مجرده را کاملاً لمس مى‏کنید، این ادراکى که الآن دارید آیا مادى است یا مجرد است؟! ادراک باید مجرد باشد چون از مقولۀ علم است و معنا ندارد که علم ماده باشد. عطوفتى که شما نسبت به افراد دارید، عطوفتى که نسبت به بچه‏ها دارید، عطوفتى که نسبت به پدر و مادر دارید، آیا این عطوفت از مقولۀ ماده است یا مجرد است؟! رحمتى که دارید، غضبى که دارید، فکرى که دارید، تعلّقى که دارید، حبّ نفسى که دارید، احساسى که براى خود دارید، آن احساس براى خود داشتن و احساس خود بودن آیا ماده است یا مجرد است؟! اگر ماده است در کدام جزء از اجزاء بدن است؟! آیا آن احساس خود بودن مربوط به دست است؟! اگر دست قطع شود یعنى آن احساس هم مى‏رود؟! نه، احساس سرجایش باقى است! احساس خود بودن و احساس خود داشتن و احساس ادراک آیا مربوط به قلب است؟! اگر فرض کنید یک روز پیدا شود ـ پیدا هم شده ـ که قلب را بردارند و قلب مصنوعى بگذارند و آن شروع به زدن کند می‌بینید که طورى نشده و همان فکر را دارید، همان کار را انجام مى‏دهید، همان مطالعه را مى‏کنید، همان راه را دارید مى‏روید، همان تفکر را مى‏کنید، همان عواطف را دارید.</w:t>
      </w:r>
    </w:p>
    <w:p>
      <w:pPr>
        <w:pStyle w:val="Heading6"/>
      </w:pPr>
      <w:r>
        <w:rPr>
          <w:rtl w:val="0"/>
          <w:lang w:val="fa-IR"/>
        </w:rPr>
        <w:t xml:space="preserve">لزوم درمان مریض به مقدار متعارف</w:t>
      </w:r>
    </w:p>
    <w:p>
      <w:pPr/>
      <w:r>
        <w:rPr>
          <w:rtl w:val="0"/>
          <w:lang w:val="fa-IR"/>
        </w:rPr>
        <w:t xml:space="preserve">فرض کنید الآن در بیمارستان مریض خوابیده است و دستگاه پمپاژ، خون را براى او پمپاژ مى‏کند، او که هنوز نمرده است، قلبش هم کار مى‏کند یعنى کارى که قلب مى‏کرد را الآن آن دستگاه دارد مى‏کند و اگر آن دستگاه را قطع کنند قلب هم مى‏ایستد. در این موارد باید این دستگاه را متوقف کرد چون این مریض مرده است و این خلاف‏ شرع است که مریض را در یک هم‌چنین حالى نگه دارند! باید دستگاه را خاموش کنند و مریض هم اگر مرد خب بمیرد چون الآن وقت مردن اوست و نباید او را زجر داد. در جایى باید مریض را نگه داشت که قلب خودش بتواند کار کند، نه‌اینکه یک آمپول تزریق کنند و [داروهای دیگر تا بماند] آن‌وقت تا عمر نوح مدام باید تزریق کنند و او نه مرده است و نه زنده است، همین‌طورى بلاتکلیف گیر کرده است و روحش از یک طرف متعلق به بدن است و از طرف دیگر [می خواهد برود]! زجرآورترین قسمت براى فرد این حالت است و متأسفانه الآن دارند این کارها را انجام مى‏دهند. وقتى که مریض دیگر نمى‏تواند دوام پیدا کند، باید دستگاه را قطع کرد و باید به عمر طبیعى خودش ازبین برود، وقت رفتن او است دیگر! همین‌طور در مورد ریه و کبد و ... هست. الآن کسی که کلیه‏هایش از کار افتاده را چه‌کار مى‏کنند؟ دیالیز مى‏کنند. حالا کسى که کلیه ندارد حرف نمى‏تواند بزند؟! فرضاً کلیه‌اش کار نمى‏کند و هر سه روز یک بار و دو روز یک بار باید برود دیالیز کند پس معلوم است کلیه هیچ نقشى در خودیت من ندارد، قلب هیچ نقشى در خودیت من ندارد و اینها وسائلى است براى اینکه بدن را نگه دارند و به‌واسطۀ بقاى بدن و سلامت بدن، روح بتواند کار انجام بدهد.</w:t>
      </w:r>
    </w:p>
    <w:p>
      <w:pPr>
        <w:pStyle w:val="Heading6"/>
      </w:pPr>
      <w:r>
        <w:rPr>
          <w:rtl w:val="0"/>
          <w:lang w:val="fa-IR"/>
        </w:rPr>
        <w:t xml:space="preserve">امکان احساس و ادراک تجرد در عین ماده بودن</w:t>
      </w:r>
    </w:p>
    <w:p>
      <w:pPr/>
      <w:r>
        <w:rPr>
          <w:rtl w:val="0"/>
          <w:lang w:val="fa-IR"/>
        </w:rPr>
        <w:t xml:space="preserve">اینها مسائلى است که شما در تجرد این مسائل را ادراک مى‏کنید. خب وقتى که مسئله را ادراک کردید بدن شما کجا مى‏رود؟ ماده چه مى‏شود؟ پس ماده دوتا است؛ یعنى یک احساس مى‏کنید احساس مجرد بودن و یک احساس مى‏کنید احساس ماده را که این ماده همان مجرد است که ظهور دارد. وقتى که شما نگاه به دست خود مى‏کنید ـ تابه‌حال فکر کرده‏اید؟ آزمایش کنید ـ آیا این دوتا دست را یک واحد در تصور خودتان مى‏آورید یا جداى از خودتان در تصورتان مى‏آید؟! الآن وقتى که نگاه به این عبا مى‏کنید، نگاه به کیفتان مى‏کنید، کیف برای خودتان است ولی مى‏گویید که این کیف جدا از من است و ربطى به من ندارد. این عبا لباسى است که من هرجا بروم برمى‏دارم روى دوشم مى‏اندازم، خب مى‏توانم این را بردارم و مى‏توانم یکى دیگر را بردارم یا این لباس را بپوشم و یا غیر از این را بپوشیم، این عمامه را مى‏توانیم بر سر بگذارم، این عینک مى‏شکند مى‏روم یک عینک دیگر می‌گیرم و در تمام این تعلقات من احساس بیگانگى مى‏کنم احساس دوئیت مى‏کنم بااینکه اینها را از خود مى‏بینم. اینها همه فواصل بعید و بعیدتر است. من آن جِده‏اى را که نسبت به این لباس دارم طبعاً آن حالت را نسبت به لباس غیر ندارم، لباس غیر را غیر مى‏بینم و جداى از این جِده مى‏بینم که نسبت به متعلقات خودم الآن ارتباط دارد ولى در همین تعلّقى که نسبت به لباس هست باز این را جداى از خودم مى‏بینم. ببینید این مرتبۀ جدا دیدن و مرتبۀ غیر دیدن فرق مى‏کند، همین‌طور نزدیک‏تر بیاییم تااینکه به این بدن مى‏رسیم، این بدنى را که الآن دارم مى‏بینم هیچ از خودم جدا نمى‏بینم درحالى‌که این ماده است و آن خودیت خود، مجرد است پس چطور در اینجا مى‏توانید یک تصور بکنید که آن تصور آن دوئیت را واقعاً ایجاد بکند؟! اگر شما به‌واسطۀ حالات روحى آن جنبۀ فناى ماده در مجرد را بتوانید تفکیک کنید، در آن حالت است که مى‏توانید مشرف بر بدن بشوید و خود را ببینید و بدن را از خود نبینید، تا وقتى که آن اشراف پیدا نشده است و آن غلبه حال بر آن نفس مجرد پیدا نشده است شما خود و بدن را یکى مى‏بینید؛ یک واحد و یک پدیده مى‏بینید و همان فکرى را که نسبت به خود دارید همین فکر را نسبت به بدن دارید. مى‏گویید: آقا چرا روى دستم مى‏زنى، مى‏گوید: آقا تو که این نیستى، تو یکى دیگر هستی و دستت چیز دیگر است. مى‏گویید: چرا در اینجا پایت را روى پاى من گذاشتى، مى‏گوید: پا که مربوط به تو نیست و تو یک واقعیت دیگر هستی، این چراها برای چیست؟ برای این است که الآن یک احساس دارید و اگر در آنجا دو احساس داشتید خیلى فرق نمى‏کرد.</w:t>
      </w:r>
    </w:p>
    <w:p>
      <w:pPr/>
      <w:r>
        <w:rPr>
          <w:rtl w:val="0"/>
          <w:lang w:val="fa-IR"/>
        </w:rPr>
        <w:t xml:space="preserve">یکى از همین افرادى که اتفاقاً با مرحوم آقا هم ارتباط داشت مطالبى نسبت به ایشان گفته بود و ما هم خیلى متأثر بودیم که مثلاً چرا یک هم‌چنین شخصى یک هم‌چنین مطالبى را گفته است. یک شب بود که منزل آمده بودیم در خدمت یکى از بستگان و او هم از این قضیه ناراحت بود. او گفت: آقا جان ایشان آمده این حرفها را راجع به شما زده است شما چرا کارى انجام نمى‏دهید؟ ایشان به من فرمودند: شما برو فلان کار را بکن. خیلى ناراحت بود و مى‏گفت که این کار یعنى چه؟ باید یک اقدام تندترى بشود! چه بشود! ایشان فرمودند: آقاجان مگر این حرفها را به ما مى‏زنند؟! اینها را به من نمى‏گویند! اینها به این قبا مى‏گویند! اشاره کردند به قبایشان که به جارختی آویزان بود. اینها به من این حرف‌ها را نمى‏زنند. حال اگر ما باشیم می‌گوییم که نه! فلان است اما این اصلاً بدن خود را از خود نمى‏بیند تااینکه حالا بیاید به او بربخورد و ناراحت شود که دارند پشت سر او حرف مى‏زنند و به او اسائۀ ادب مى‏کنند و... او مى‏گوید که به این قبا مى‏گویند! مى‏گوید: آقاجان تو برو به این لباس من هرچه خواستى بگو؛ بگو: اى فلان فلان شده و... به تو مى‏خندند. ببینید اینها چیزهاى اساسى است که اینها را باید در خودمان زنده کنیم و بپرورانیم. این مسائل را بپرورانیم. آن‌وقت به یک چیزهایی مى‏رسیم، به مطالبی مى‏رسیم، حالا نمى‏گوییم: مثل آنها ولى خب یک چیزهایى ادراک مى‏کنیم، یک چیزهایى مى‏فهمیم، زندگى یک‏خرده براى ما راحت‏تر مى‏شود، ارتباطات یک‏خرده براى ما راحت‏تر مى‏شود، معادلات یک مقدارى براى ما منطقى‏تر مى‏شود، معادلات! این حرف و نقل‏ها و پشت سرهم حرف زدن‏ها یک مقدارى سبک‏تر مى‏شود، کمتر مى‏شود، حسن ظن‏ها بیشتر مى‏شود، سعۀ صدرها بیشتر مى‏شود. اینها چیزهایى است که بزرگان به ما یاد داده‏اند. یکى از چیزهایى که ایشان همیشه به ما مى‏فرمودند این بود که اگر یک حرفى به تو زدند نرو پى آن را بگیرى، انگارنه‌انگار شنیده‏اى.</w:t>
      </w:r>
    </w:p>
    <w:p>
      <w:pPr/>
      <w:r>
        <w:rPr>
          <w:rtl w:val="0"/>
          <w:lang w:val="fa-IR"/>
        </w:rPr>
        <w:t xml:space="preserve">بله، یک وقتى مطالبى گفته مى‏شود که یک مسائل و تبعاتى دارد، آنجا آدم باید پى آن را بگیرد ولى در بعضى از موارد دیگر نه، مثلاً می‌گویند که فلانى خودش را خیلى مى‏گیرد، گرفتن ندارد آقا. فلانى دروغ از خودش مى‏گوید، حالا گفت دیگر، تو فکرت را مشغول نکن! این‌قدر از این حرفها به من در نامه مى‏نویسند که یکى را تابه‌حال نگفتم، اصلاً تا یادم مى‏افتد به قبایم نگاه مى‏کنم و می‌گویم: بخور، نوش جانت، خوب است، قیمتت بالا مى‏رود؛ مترى هزار تومان مى‏شود مترى دو هزار تومان، مترى سه هزار تومان! مى‏بینم لباسم آنجا هست می‌گویم: هان بخور، چرا فقط من بخورم؟! یک‏خرده هم تو بخور!</w:t>
      </w:r>
    </w:p>
    <w:p>
      <w:pPr/>
      <w:r>
        <w:rPr>
          <w:rtl/>
          <w:lang w:val="fa-IR"/>
        </w:rPr>
        <w:t xml:space="preserve">اینها آمدند و زندگى را براى ما راحت کردند! ببینید ما اصلاً درست عکس این مکتب و مرام و مبنا داریم حرکت مى‏کنیم، طرف یک حرفى را اصلاً نزده است ولی ما این حرف را زده شده تلقّى مى‏کنیم، از روى قصد تلقّى مى‏کنیم، از روى عناد تلقّى مى‏کنیم و به آن ترتیب اثر مى‏دهیم و دنیا را پر مى‏کنیم و پدر او را درمى‏آوریم بعد وقتى نگاه مى‏کنى می‌بینی اصلاً طرف روحش هم خبر نداشت، بدبخت روحش خبر ندارد. این کجا و آن کجا؟! اصلاً اینها در دو وادى کاملاً مختلف به اختلاف بُعدُ المشرقین قرار دارند! او (مرحوم علامه طهرانى) مى‏گوید: اگر یقیناً شنیدى یعنى اصلاً طرف آمد جلوى تو و گفت [بگو اشکال ندارد]. من در آن زمان مى‏رفتم و نامه‏هایى را که به ایشان مى‏نوشتند مى‏دیدم که چه مطالبى را به ایشان مى‏گفتند ـ چه دوست و چه غیر دوست، نامه‏هاى بدون امضا ـ ولى ایشان انگارنه‌انگار، مى‏گفتند که بزن به اینجا و بزن به آنجا و خودت را راحت کن.</w:t>
      </w:r>
    </w:p>
    <w:p>
      <w:pPr>
        <w:pStyle w:val="SoalMatn"/>
      </w:pPr>
      <w:r>
        <w:rPr>
          <w:rtl w:val="0"/>
          <w:lang w:val="fa-IR"/>
        </w:rPr>
        <w:t xml:space="preserve">تلمیذ:</w:t>
      </w:r>
      <w:r>
        <w:rPr>
          <w:rtl w:val="0"/>
          <w:lang w:val="fa-IR"/>
        </w:rPr>
        <w:t xml:space="preserve"> در خصوص پاییز اولیاء و بزرگان نظر خاصى داشته‏اند؟</w:t>
      </w:r>
    </w:p>
    <w:p>
      <w:pPr>
        <w:pStyle w:val="Heading6"/>
      </w:pPr>
      <w:r>
        <w:rPr>
          <w:rtl w:val="0"/>
          <w:lang w:val="fa-IR"/>
        </w:rPr>
        <w:t xml:space="preserve">خصوصیت متمایز پاییز از سایر فصول</w:t>
      </w:r>
    </w:p>
    <w:p>
      <w:pPr/>
      <w:r>
        <w:rPr>
          <w:rtl w:val="0"/>
          <w:lang w:val="fa-IR"/>
        </w:rPr>
        <w:t xml:space="preserve">استاد: بله، مى‏گفتند: نورانیت پاییز از سایر فصول بیشتر است جهت خاص آن همان رسیدن به مقصد و مطلوب است. درخت و البته کل طبیعت در پاییز است که نتیجۀ از سبز شدن و نتیجۀ از رشد و نمو را ارائه مى‏دهند، میوه‏ها در پاییز درمى‏آیند و وقتى که پاییز مى‏شود دیگر درختها انگار آن وظیفه را انجام دادند و دیگر برگها مى‏خواهد بریزد. این حالت حالت خاصى است. بله، یک هم‌چنین چیزى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50.</w:t>
      </w:r>
    </w:p>
  </w:footnote>
  <w:footnote w:id="2">
    <w:p>
      <w:pPr>
        <w:pStyle w:val="FootnoteText"/>
      </w:pPr>
      <w:r>
        <w:rPr>
          <w:rtl w:val="0"/>
          <w:lang w:val="fa-IR"/>
        </w:rPr>
        <w:footnoteRef/>
      </w:r>
      <w:r>
        <w:rPr>
          <w:rtl w:val="0"/>
          <w:lang w:val="fa-IR"/>
        </w:rPr>
        <w:t xml:space="preserve">. </w:t>
      </w:r>
      <w:r>
        <w:rPr>
          <w:rtl w:val="0"/>
          <w:lang w:val="fa-IR"/>
        </w:rPr>
        <w:t xml:space="preserve">الکافى،</w:t>
      </w:r>
      <w:r>
        <w:rPr>
          <w:rtl w:val="0"/>
          <w:lang w:val="fa-IR"/>
        </w:rPr>
        <w:t xml:space="preserve"> ج 1، </w:t>
      </w:r>
      <w:r>
        <w:rPr>
          <w:rStyle w:val="Arabi"/>
          <w:rtl w:val="0"/>
          <w:lang w:val="fa-IR"/>
        </w:rPr>
        <w:t xml:space="preserve">کِتابُ التَّوحید، باب البداء</w:t>
      </w:r>
      <w:r>
        <w:rPr>
          <w:rtl w:val="0"/>
          <w:lang w:val="fa-IR"/>
        </w:rPr>
        <w:t xml:space="preserve">، ص 147:</w:t>
      </w:r>
    </w:p>
    <w:p>
      <w:pPr>
        <w:pStyle w:val="FootnoteText"/>
      </w:pPr>
      <w:r>
        <w:rPr>
          <w:rStyle w:val="Arabi"/>
          <w:rtl w:val="0"/>
          <w:lang w:val="fa-IR"/>
        </w:rPr>
        <w:t xml:space="preserve">«عن أبی‌بصیرٍ عن أبی‌عبدِاللهِ علیهِ السّلامُ قال: ”</w:t>
      </w:r>
      <w:r>
        <w:rPr>
          <w:rStyle w:val="RevayatArabi"/>
          <w:rtl w:val="0"/>
          <w:lang w:val="fa-IR"/>
        </w:rPr>
        <w:t xml:space="preserve">إنّ لِلّهِ عِلمینِ عِلمٌ مکنونٌ مَخزونٌ لا یَعلَمُهُ إلاّ هو مِن ذلِک یکونُ البداءُ و عِلمٌ عَلَّمهُ ملائِکتهُ و رُسُلهُ و أنبیاءهُ فنَحنُ نَعلَمُهُ</w:t>
      </w:r>
      <w:r>
        <w:rPr>
          <w:rStyle w:val="Arabi"/>
          <w:rtl w:val="0"/>
          <w:lang w:val="fa-IR"/>
        </w:rPr>
        <w:t xml:space="preserve">.“»</w:t>
      </w:r>
    </w:p>
  </w:footnote>
  <w:footnote w:id="3">
    <w:p>
      <w:pPr>
        <w:pStyle w:val="FootnoteText"/>
      </w:pPr>
      <w:r>
        <w:rPr>
          <w:rtl w:val="0"/>
          <w:lang w:val="fa-IR"/>
        </w:rPr>
        <w:footnoteRef/>
      </w:r>
      <w:r>
        <w:rPr>
          <w:rtl w:val="0"/>
          <w:lang w:val="fa-IR"/>
        </w:rPr>
        <w:t xml:space="preserve">.</w:t>
      </w:r>
      <w:r>
        <w:rPr>
          <w:rtl w:val="0"/>
          <w:lang w:val="fa-IR"/>
        </w:rPr>
        <w:t xml:space="preserve"> التوحید</w:t>
      </w:r>
      <w:r>
        <w:rPr>
          <w:rtl w:val="0"/>
          <w:lang w:val="fa-IR"/>
        </w:rPr>
        <w:t xml:space="preserve"> (شیخ صدوق)، ج ۱، ص ۳۰4 ؛ </w:t>
      </w:r>
      <w:r>
        <w:rPr>
          <w:rtl w:val="0"/>
          <w:lang w:val="fa-IR"/>
        </w:rPr>
        <w:t xml:space="preserve">بحارالانوار</w:t>
      </w:r>
      <w:r>
        <w:rPr>
          <w:rtl w:val="0"/>
          <w:lang w:val="fa-IR"/>
        </w:rPr>
        <w:t xml:space="preserve">، ج 4، ص 97:</w:t>
      </w:r>
    </w:p>
    <w:p>
      <w:pPr>
        <w:pStyle w:val="FootnoteText"/>
      </w:pPr>
      <w:r>
        <w:rPr>
          <w:rStyle w:val="Arabi"/>
          <w:rtl w:val="0"/>
          <w:lang w:val="fa-IR"/>
        </w:rPr>
        <w:t xml:space="preserve">«[قال امیرالمؤمنین علیه‌السّلام:] ”</w:t>
      </w:r>
      <w:r>
        <w:rPr>
          <w:rStyle w:val="RevayatArabi"/>
          <w:rtl w:val="0"/>
          <w:lang w:val="fa-IR"/>
        </w:rPr>
        <w:t xml:space="preserve">و لولا آیةٌ فی کِتابِ اللهِ لأخبرتُکُم بِما کان و بِما یکونُ و ما هو کائِنٌ إلى یومِ القیامةِ و هی هذِهِ الآیةُ</w:t>
      </w:r>
      <w:r>
        <w:rPr>
          <w:rStyle w:val="Arabi"/>
          <w:rtl w:val="0"/>
          <w:lang w:val="fa-IR"/>
        </w:rPr>
        <w:t xml:space="preserve"> </w:t>
      </w:r>
      <w:r>
        <w:rPr>
          <w:rtl w:val="0"/>
          <w:lang w:val="fa-IR"/>
        </w:rPr>
        <w:t xml:space="preserve">﴿يَمۡحُواْ ٱللَهُ مَا يَشَآءُ وَيُثۡبِتُ وَعِندَهُۥٓ أُمُّ ٱلۡكِتَٰبِ﴾</w:t>
      </w:r>
      <w:r>
        <w:rPr>
          <w:rStyle w:val="FootnoteReference"/>
          <w:rtl w:val="0"/>
          <w:lang w:val="fa-IR"/>
        </w:rPr>
        <w:t xml:space="preserve">*</w:t>
      </w:r>
      <w:r>
        <w:rPr>
          <w:rtl w:val="0"/>
          <w:lang w:val="fa-IR"/>
        </w:rPr>
        <w:t xml:space="preserve">“</w:t>
      </w:r>
      <w:r>
        <w:rPr>
          <w:rStyle w:val="Arabi"/>
          <w:rtl w:val="0"/>
          <w:lang w:val="fa-IR"/>
        </w:rPr>
        <w:t xml:space="preserve">.»</w:t>
      </w:r>
    </w:p>
    <w:p>
      <w:pPr>
        <w:pStyle w:val="FootnoteText"/>
      </w:pPr>
      <w:r>
        <w:rPr>
          <w:rStyle w:val="Arabi"/>
          <w:rtl w:val="0"/>
          <w:lang w:val="fa-IR"/>
        </w:rPr>
        <w:t xml:space="preserve">*. سوره رعد (13) آیه 39. </w:t>
      </w:r>
      <w:r>
        <w:rPr>
          <w:rtl w:val="0"/>
          <w:lang w:val="fa-IR"/>
        </w:rPr>
        <w:t xml:space="preserve">نور ملکوت قرآن</w:t>
      </w:r>
      <w:r>
        <w:rPr>
          <w:rStyle w:val="Arabi"/>
          <w:rtl w:val="0"/>
          <w:lang w:val="fa-IR"/>
        </w:rPr>
        <w:t xml:space="preserve">، ج 3، ص 347:</w:t>
      </w:r>
    </w:p>
    <w:p>
      <w:pPr>
        <w:pStyle w:val="FootnoteText"/>
      </w:pPr>
      <w:r>
        <w:rPr>
          <w:rStyle w:val="Arabi"/>
          <w:rtl w:val="0"/>
          <w:lang w:val="fa-IR"/>
        </w:rPr>
        <w:t xml:space="preserve">«خداوند به ارادۀ خود ازبین مى برد و به‌وجود مى‌آورد؛ اما امّ الکتابى که در آن چیزى معدوم نمى‌شود، در نزد خداوند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