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و چهارم</w:t>
      </w:r>
    </w:p>
    <w:p>
      <w:pPr>
        <w:pStyle w:val="Heading5"/>
      </w:pPr>
      <w:r>
        <w:rPr>
          <w:rtl w:val="0"/>
          <w:lang w:val="fa-IR"/>
        </w:rPr>
        <w:t xml:space="preserve">کلام مرحوم سید میرداماد و تطبیق این مسئله با مُثُل افلاطونى‏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همین‌طوری [مثل این ضبط] کارها، افکار، خیالات و خطورات ما هم همه ثبت می‌شوند، از اینها دقیق‌تر!</w:t>
      </w:r>
    </w:p>
    <w:p>
      <w:pPr/>
      <w:r>
        <w:rPr>
          <w:rtl w:val="0"/>
          <w:lang w:val="fa-IR"/>
        </w:rPr>
        <w:t xml:space="preserve">یک دفعه با مرحوم آقا خدمت مرحوم علامه طباطبائی ـ رضوان الله تعالی علیهما ـ رفته بودیم. خود من یک ضبط داشتم که قرار بود صداى ایشان را ضبط کنم. آن را این‌طرف گذاشتم و یکى دو نفر دیگر هم آنجا بودند، آنها هم ضبط داشتند یک ضبط هم آنها آن‌طرف گذاشتند. یک‌دفعه ایشان فرمودند:</w:t>
      </w:r>
    </w:p>
    <w:p>
      <w:pPr>
        <w:pStyle w:val="NaghlegholMatn"/>
      </w:pPr>
      <w:r>
        <w:rPr>
          <w:rtl w:val="0"/>
          <w:lang w:val="fa-IR"/>
        </w:rPr>
        <w:t xml:space="preserve">﴿إِذۡ يَتَلَقَّى ٱلۡمُتَلَقِّيَانِ عَنِ ٱلۡيَمِينِ وَعَنِ ٱلشِّمَالِ قَعِيدٞ * مَّا يَلۡفِظُ مِن قَوۡلٍ إِلَّا لَدَيۡهِ رَقِيبٌ عَتِيد﴾.</w:t>
      </w:r>
      <w:r>
        <w:rPr>
          <w:rStyle w:val="FootnoteReference"/>
        </w:rPr>
        <w:footnoteReference w:id="1"/>
      </w:r>
    </w:p>
    <w:p>
      <w:pPr/>
      <w:r>
        <w:rPr>
          <w:rtl w:val="0"/>
          <w:lang w:val="fa-IR"/>
        </w:rPr>
        <w:t xml:space="preserve">به‌خاطر دوتا سیم و چهار مثقال پلاستیک، آدم چطورى مواظبت مى‏کند حرف خلافى نزند! به‌خاطر چهارتا سیم و سه چهارتا پلاستیک و اینها حرف خلاف نزند خودش را درست کند همین‌طور قشنگ، مرتب، منظم، این عبا را روى آن قبا بیندازد، با نزاکت و ... اما همین‌که این سیم و پلاستیک‏ها کنار مى‏رود دیگر هیچ ابایى ندارد که هرچه گفت و هر کاری کرد و هر مسئله‏اى رخ داد [اشکال ندارد] ضبط که نمى‏شود!</w:t>
      </w:r>
    </w:p>
    <w:p>
      <w:pPr/>
      <w:r>
        <w:rPr>
          <w:rtl w:val="0"/>
          <w:lang w:val="fa-IR"/>
        </w:rPr>
        <w:t xml:space="preserve">خیلى فرق مى‏کند خیلی فرق می‌کند بین کسى که در یک موقعیتى قرار دارد و حرف مى‏زند و کسی که در آن موقعیت نیست و دارد صحبت مى‏کند، خیلى تفاوت هست؛ کیفیت حرف زدن و کیفیت تخاطب، خیلى خیلى فرق مى‏کند.</w:t>
      </w:r>
    </w:p>
    <w:p>
      <w:pPr>
        <w:pStyle w:val="Heading6"/>
      </w:pPr>
      <w:r>
        <w:rPr>
          <w:rtl w:val="0"/>
          <w:lang w:val="fa-IR"/>
        </w:rPr>
        <w:t xml:space="preserve">فرق دیدگاه رجل الهی با بقیۀ افراد</w:t>
      </w:r>
    </w:p>
    <w:p>
      <w:pPr/>
      <w:r>
        <w:rPr>
          <w:rtl w:val="0"/>
          <w:lang w:val="fa-IR"/>
        </w:rPr>
        <w:t xml:space="preserve">در جنگ جمل ابن‌عباس در کنار امیرالمؤمنین علیه‌السّلام بود و جنگ مى‏خواست شروع بشود، یکی آمد یک مسئله راجع به نماز پرسید؛ در نماز اشتباهى کرده بود. گفت: نماز صبحم را که مى‏خواستم بخوانم این کار را کردم چه‌کار کنم؟ حضرت فرمودند که این کار را بکن مثلاً یا اشکال ندارد یا چه‌کار کن یا سجده سهو کن! ابن عباس گفت که حالا وقت سؤال کردن است؟!</w:t>
      </w:r>
    </w:p>
    <w:p>
      <w:pPr/>
      <w:r>
        <w:rPr>
          <w:rtl w:val="0"/>
          <w:lang w:val="fa-IR"/>
        </w:rPr>
        <w:t xml:space="preserve">ببینید چقدر ...! امیرالمؤمنین علیه‌السّلام رو به ابن عباس کردند و گفتند که پس چه موقع براى نماز سؤال کند؟!</w:t>
      </w:r>
      <w:r>
        <w:rPr>
          <w:rStyle w:val="FootnoteReference"/>
        </w:rPr>
        <w:footnoteReference w:id="2"/>
      </w:r>
    </w:p>
    <w:p>
      <w:pPr/>
      <w:r>
        <w:rPr>
          <w:rtl w:val="0"/>
          <w:lang w:val="fa-IR"/>
        </w:rPr>
        <w:t xml:space="preserve">شما همین دوتا جمله را در کنار هم قرار بدهید بعد بروید ماه‌ها روى آن فکر کنید. یک روز کم است! یک روز و یک هفته کم است، خیلی کم است!</w:t>
      </w:r>
    </w:p>
    <w:p>
      <w:pPr/>
      <w:r>
        <w:rPr>
          <w:rtl w:val="0"/>
          <w:lang w:val="fa-IR"/>
        </w:rPr>
        <w:t xml:space="preserve">یک دفعه مرحوم آقا داشتند راجع به «</w:t>
      </w:r>
      <w:r>
        <w:rPr>
          <w:rStyle w:val="Arabi"/>
          <w:rtl w:val="0"/>
          <w:lang w:val="fa-IR"/>
        </w:rPr>
        <w:t xml:space="preserve">الصلوة خیرٌ مِن النوم»</w:t>
      </w:r>
      <w:r>
        <w:rPr>
          <w:rStyle w:val="FootnoteReference"/>
        </w:rPr>
        <w:footnoteReference w:id="3"/>
      </w:r>
      <w:r>
        <w:rPr>
          <w:rtl w:val="0"/>
          <w:lang w:val="fa-IR"/>
        </w:rPr>
        <w:t xml:space="preserve"> که این آقا از خودش درآورد صحبت مى‏کردند که دیدگاه یک رجل الهى با دیدگاه یک فرد سیاسى چه تفاوت و فرق‏هایى مى‏تواند داشته باشد.</w:t>
      </w:r>
    </w:p>
    <w:p>
      <w:pPr/>
      <w:r>
        <w:rPr>
          <w:rtl w:val="0"/>
          <w:lang w:val="fa-IR"/>
        </w:rPr>
        <w:t xml:space="preserve">ایشان فرمودند: دیدگاه رجل الهى؛ پیغمبر، رسول خدا، یک رجل الهی، بالاترینش! این [پیامبر] نماز که مى‏آورد و مى‏گوید: </w:t>
      </w:r>
      <w:r>
        <w:rPr>
          <w:rStyle w:val="Arabi"/>
          <w:rtl w:val="0"/>
          <w:lang w:val="fa-IR"/>
        </w:rPr>
        <w:t xml:space="preserve">«حىّ على خیرِ العَمَل»</w:t>
      </w:r>
      <w:r>
        <w:rPr>
          <w:rtl w:val="0"/>
          <w:lang w:val="fa-IR"/>
        </w:rPr>
        <w:t xml:space="preserve">. در این </w:t>
      </w:r>
      <w:r>
        <w:rPr>
          <w:rStyle w:val="Arabi"/>
          <w:rtl w:val="0"/>
          <w:lang w:val="fa-IR"/>
        </w:rPr>
        <w:t xml:space="preserve">«خیر العمل»</w:t>
      </w:r>
      <w:r>
        <w:rPr>
          <w:rtl w:val="0"/>
          <w:lang w:val="fa-IR"/>
        </w:rPr>
        <w:t xml:space="preserve"> همه چیز خوابیده است؛ </w:t>
      </w:r>
      <w:r>
        <w:rPr>
          <w:rStyle w:val="Arabi"/>
          <w:rtl w:val="0"/>
          <w:lang w:val="fa-IR"/>
        </w:rPr>
        <w:t xml:space="preserve">خیرُ العمل مِن الصوم</w:t>
      </w:r>
      <w:r>
        <w:rPr>
          <w:rtl w:val="0"/>
          <w:lang w:val="fa-IR"/>
        </w:rPr>
        <w:t xml:space="preserve">، </w:t>
      </w:r>
      <w:r>
        <w:rPr>
          <w:rStyle w:val="Arabi"/>
          <w:rtl w:val="0"/>
          <w:lang w:val="fa-IR"/>
        </w:rPr>
        <w:t xml:space="preserve">خیرُ العمل مِن الحج</w:t>
      </w:r>
      <w:r>
        <w:rPr>
          <w:rtl w:val="0"/>
          <w:lang w:val="fa-IR"/>
        </w:rPr>
        <w:t xml:space="preserve">، </w:t>
      </w:r>
      <w:r>
        <w:rPr>
          <w:rStyle w:val="Arabi"/>
          <w:rtl w:val="0"/>
          <w:lang w:val="fa-IR"/>
        </w:rPr>
        <w:t xml:space="preserve">خیرُ العمل مِن الجهاد فى سبیل الله</w:t>
      </w:r>
      <w:r>
        <w:rPr>
          <w:rtl w:val="0"/>
          <w:lang w:val="fa-IR"/>
        </w:rPr>
        <w:t xml:space="preserve">، جهاد غیر سبیل الله که خروج موضوعى دارد! </w:t>
      </w:r>
      <w:r>
        <w:rPr>
          <w:rStyle w:val="Arabi"/>
          <w:rtl w:val="0"/>
          <w:lang w:val="fa-IR"/>
        </w:rPr>
        <w:t xml:space="preserve">خیرُ مِن العمل فی الإنفاق</w:t>
      </w:r>
      <w:r>
        <w:rPr>
          <w:rtl w:val="0"/>
          <w:lang w:val="fa-IR"/>
        </w:rPr>
        <w:t xml:space="preserve">، </w:t>
      </w:r>
      <w:r>
        <w:rPr>
          <w:rStyle w:val="Arabi"/>
          <w:rtl w:val="0"/>
          <w:lang w:val="fa-IR"/>
        </w:rPr>
        <w:t xml:space="preserve">خیرُ مِن العمل فی الصدقة</w:t>
      </w:r>
      <w:r>
        <w:rPr>
          <w:rtl w:val="0"/>
          <w:lang w:val="fa-IR"/>
        </w:rPr>
        <w:t xml:space="preserve">، هر چیز که شما مى‏توانید به‌حساب بیاورید. نماز بالاترین است! شما این دیدگاه را بشکافید که چرا پیغمبر صلّی الله و علیه و آله و سلّم مى‏فرماید: نماز بالاترین است؟! [چرا نمى‏فرماید:] صوم، حج، جهاد! در جهاد خون ریخته مى‏شود! حلوا که در آنجا پخش نمى‏کنند، خون ریخته می‌شود! نمازی که در آن خون ریخته نمى‏شود آدم هم طورى نمى‏شود، نه طورى‏اش مى‏شود نه خونى ریخته مى‏شود نه اذیت و زحمتى برایش پیدا مى‏شود چرا باید نماز بهترین و بالاترین باشد؟! چرا باید خیر العمل باشد؟! این حرف را کسى نمى‏تواند بزند مگر آن کسى که واسطۀ فیض پروردگار و مجلیٰ و مجراى فیض باشد. او فقط مى‏فهمد که چرا نماز خیر العمل است که تمام حقیقت هستى انسان به ربط است و ربط هم در همین نماز حاصل مى‏شود. آن ربط نباشد جهاد کشک مى‏شود! روزه کشک می‌شود! انفاق کشک مى‏شود! همه کشک مى‏شوند! کشک در کشک در کشک، همه کشک مى‏شوند! آن ربط اگر نباشد همه کشک مى‏شود! آن ربط اگر باشد همه چیز صحیح مى‏شود، همه چیز درست مى‏شود.</w:t>
      </w:r>
    </w:p>
    <w:p>
      <w:pPr/>
      <w:r>
        <w:rPr>
          <w:rtl w:val="0"/>
          <w:lang w:val="fa-IR"/>
        </w:rPr>
        <w:t xml:space="preserve">این را بقیه نمى‏فهمند لذا مى‏گویند: </w:t>
      </w:r>
      <w:r>
        <w:rPr>
          <w:rStyle w:val="Arabi"/>
          <w:rtl w:val="0"/>
          <w:lang w:val="fa-IR"/>
        </w:rPr>
        <w:t xml:space="preserve">«الصلوة خیرٌ مِن النوم»</w:t>
      </w:r>
      <w:r>
        <w:rPr>
          <w:rtl w:val="0"/>
          <w:lang w:val="fa-IR"/>
        </w:rPr>
        <w:t xml:space="preserve"> نمى‏فهمند دیگر! به‌جاى اینکه بخوابید حالا بلند شوید نماز بخوانید! خب اگر این‌طور هست چرا مى‏گویید: </w:t>
      </w:r>
      <w:r>
        <w:rPr>
          <w:rStyle w:val="Arabi"/>
          <w:rtl w:val="0"/>
          <w:lang w:val="fa-IR"/>
        </w:rPr>
        <w:t xml:space="preserve">«الصلوةُ خیرٌ مِن النوم»</w:t>
      </w:r>
      <w:r>
        <w:rPr>
          <w:rtl w:val="0"/>
          <w:lang w:val="fa-IR"/>
        </w:rPr>
        <w:t xml:space="preserve"> بگو: </w:t>
      </w:r>
      <w:r>
        <w:rPr>
          <w:rStyle w:val="Arabi"/>
          <w:rtl w:val="0"/>
          <w:lang w:val="fa-IR"/>
        </w:rPr>
        <w:t xml:space="preserve">الریاضةُ خیرٌ مِن النوم</w:t>
      </w:r>
      <w:r>
        <w:rPr>
          <w:rtl w:val="0"/>
          <w:lang w:val="fa-IR"/>
        </w:rPr>
        <w:t xml:space="preserve">؛ ورزش بهتر از خواب هست! </w:t>
      </w:r>
      <w:r>
        <w:rPr>
          <w:rStyle w:val="Arabi"/>
          <w:rtl w:val="0"/>
          <w:lang w:val="fa-IR"/>
        </w:rPr>
        <w:t xml:space="preserve">الیقظةُ خیرٌ مِن النوم</w:t>
      </w:r>
      <w:r>
        <w:rPr>
          <w:rtl w:val="0"/>
          <w:lang w:val="fa-IR"/>
        </w:rPr>
        <w:t xml:space="preserve">، </w:t>
      </w:r>
      <w:r>
        <w:rPr>
          <w:rStyle w:val="Arabi"/>
          <w:rtl w:val="0"/>
          <w:lang w:val="fa-IR"/>
        </w:rPr>
        <w:t xml:space="preserve">المشىُ خیرٌ مِن النوم</w:t>
      </w:r>
      <w:r>
        <w:rPr>
          <w:rtl w:val="0"/>
          <w:lang w:val="fa-IR"/>
        </w:rPr>
        <w:t xml:space="preserve">؛ پیاده‌روى بهتر از خواب هست! چون دیدگاه، مقایسه با خواب مى‏شود. خواب درازکش هست صلاة ایستادن هست. تفاوت همین است! آن‌وقت آن شخصیت مى‏رود این‏ شخصیت مى‏آید جایش مى‏نشیند. اى دَدَم واى! آنکه در آن هوا و در آن فضا و در آن مرحله دارد سیر مى‏کند کنار مى‏رود و فوت مى‏کند و به رحمت خدا مى‏رود و به‌ جایش کسى مى‏آید که دیدگاهش این است، افق ادراکش این است فهمش این است! حالا چه خواهد شد؟! چه خواهد شد؟! بعد ایشان مى‏فرمودند: همین را شما مى‏توانید معیار قرار بدهید! همین را معیار قرار بدهید!</w:t>
      </w:r>
    </w:p>
    <w:p>
      <w:pPr/>
      <w:r>
        <w:rPr>
          <w:rtl w:val="0"/>
          <w:lang w:val="fa-IR"/>
        </w:rPr>
        <w:t xml:space="preserve">یک دفعه معاویه داشت امیرالمؤمنین را مدح مى‏کرد و مى‏گفت: خدا [ابوتراب را] رحمت کند ـ این مدح‏ها همه بعد از فوت است ها! ـ والاّ در زمان حیات از این مدح‏ها هیچ خبرى نیست. وقتى امیرالمؤمنین مى‏میرد و شهیدش مى‏کنند و مسئله تمام مى‏شود مدح و ثنا [شروع می‌شود] چون دیگر رقیب نیست! حالا مدح و ثنا هم بکند به‌پاى تواضعش مى‏گذارند! اما خودت اینهایى را که مى‏گویى آن موقعی که على در قید حیات هم بود مى‏گفتى؟! نمى‏گفتى! ـ گفت: خدا ابوتراب را رحمت کند، طلا و کاه در پیش او [یکی بود] و اگر یک کوه [از] طلا [و یک کوه از کاه] داشت طلا را زودتر از کاه انفاق مى‏کرد.</w:t>
      </w:r>
      <w:r>
        <w:rPr>
          <w:rStyle w:val="FootnoteReference"/>
        </w:rPr>
        <w:footnoteReference w:id="4"/>
      </w:r>
    </w:p>
    <w:p>
      <w:pPr/>
      <w:r>
        <w:rPr>
          <w:rtl w:val="0"/>
          <w:lang w:val="fa-IR"/>
        </w:rPr>
        <w:t xml:space="preserve">مرحوم آقا ـ رضوان الله تعالی علیه ـ در اینجا عبارت‏هاى جالبى مى‏فرمودند یعنى نکته‏هایى در این عبارت‏ها شکفته مى‏شد. ایشان مى‏فرمودند: چون دیدگاه خودش دیدگاه مادى است على علیه‌السّلام را هم دارد از دیدگاه مادى بررسى مى‏کند! چون فهمش فهم مادى است. او (معاویه) طلا را مسلّم بر کاه ترجیح مى‏دهد و نمى‏آید کاه را بگیرد و طلا را رها کند ولى آن‌قدر این بندۀ خدا نمى‏داند که براى على طلا و کاه یکى هست و تفاوتى نمى‏کند. طلا و کاه یکى است! نه‌اینکه طلا و کاه یکى است یعنى هردو به یک نظر، از نظر ارزش؛ [بلکه] او در یک افقى است که غیر از او هرچه مى‏خواهد باشد؛ طلا، سنگ، برلیان، هرچه از امور دنیا و اینها دیگر براى او تفاوتى نمى‏کند که حالا در معیار سنجش قرار بگیرد یا نگیرد. نه، هیچ تفاوتى نمى‏کند!</w:t>
      </w:r>
    </w:p>
    <w:p>
      <w:pPr/>
      <w:r>
        <w:rPr>
          <w:rtl w:val="0"/>
          <w:lang w:val="fa-IR"/>
        </w:rPr>
        <w:t xml:space="preserve">یک نفر در خودش إعمال روّیه مى‏کند و این را در خودش ایجاد مى‏کند و به‌وجود مى‌آورد که این مسئله به این کیفیت در آن باشد خب شاید موفق هم بشود. بعید نیست که موفق بشود ادامه بدهد و کارى بکند که طلا و کاه پیشش یکسان باشد، ولى این نفسش را به این بى‌ارزشى عادت داده است. خوب است نه‌اینکه بد است ولى راه خدا انسان را بالاتر از این مى‏برد؛ راه خدا انسان را به همان حقیقت و مبدأ مى‏برد. دیگر غیر از آن مبدأ همه چیز خودش خواهى‌‌نخواهى از ارزش مى‏افتد. نه‌اینکه این بخواهد خودش را در این مسئله به یک نگرشى وادارد.</w:t>
      </w:r>
    </w:p>
    <w:p>
      <w:pPr/>
      <w:r>
        <w:rPr>
          <w:rtl w:val="0"/>
          <w:lang w:val="fa-IR"/>
        </w:rPr>
        <w:t xml:space="preserve">مى‏فرمودند: این معاویه اگر على را مى‏شناخت مى‏گفت: براى على طلا و کاه فرقى نداشت و در یک ردیف بودند. این شخص دیدگاهش مادى است لذا مى‏گوید: این از آن بالاتر است. بله!</w:t>
      </w:r>
    </w:p>
    <w:p>
      <w:pPr>
        <w:pStyle w:val="Heading6"/>
      </w:pPr>
      <w:r>
        <w:rPr>
          <w:rtl w:val="0"/>
          <w:lang w:val="fa-IR"/>
        </w:rPr>
        <w:t xml:space="preserve">شناخت افراد از روی معیارهای مدح و ذمشان</w:t>
      </w:r>
    </w:p>
    <w:p>
      <w:pPr/>
      <w:r>
        <w:rPr>
          <w:rtl w:val="0"/>
          <w:lang w:val="fa-IR"/>
        </w:rPr>
        <w:t xml:space="preserve">اینها براى ما مى‏تواند معیار قرار بگیرد؛ معیارهاى سنجشِ افکار می‌تواند قرار بگیرد. آدم مى‏بیند که افراد وقتى که در صحبت‏هایشان مدح مى‏کنند یا مى‏خواهند تعریف کنند [مى‏گویند:] مثلاً نگاه کنید در فلان قضیه، جمعیت چقدر آمده است! این معیار مى‏شود؟! یااینکه نه، برایش تفاوتى نکند جمعیت چقدر آمده است! هیچ فرقى نکند! آن حرفى که باید بزند، بزند. [این شخص] چه کسی است؟! شما یک نفر را به من نشان بدهید بگویید که این [این‌طور هست.] بله! تبسم و خنده، همۀ ما از این چیزها داریم! تواضع تصنّعى! وقتى به یک جایی یک تکان می‌خورد یک دفعه شما مى‏بینید عجب آنچه که در دلش هست [بیرون] ریخت! آنچه که در نفسش هست [بیرون] مى‏ریزد. آنچه که تابه‌حال مخفى بود ـ نه‌اینکه نبود! بود ولى مخفى بود ـ پوشش‏ها آمده بود و آن را مخفى نگه داشته بود. حتّى دَم از خدا هم که مى‏زنیم به‌واسطۀ آن پوشش‏هاست. [می‌گوید:] خداوند ما را موفق کرده است! حتى به‌حسابِ [خدا می‌گذارد] خداوند این لطف را به ما کرده است! این‌هم دروغ است! خداىِ نفسِت‏ دارد مى‏گوید: خداوند به من کمک کرده است! نه خداى واقعى. اگر خداى واقعى باشد، آن وقتى که قضیه تکان مى‏خورد چرا آن خداى واقعى کنار مى‏رود و به جایش هزارتا فحش و بدوبیراه به این و آن مى‏رسد؟! خدا که همیشه خداست دیگر! خدا هم که التزام نداده همیشه مسائل به یک نحوه باشد، مى‏گوید: نه! مى‏خواهیم این طرفى‌اش کنیم! دست ماست! جنگ بدر است مسلمین را پیروز مى‏کنیم. جنگ اُحد است شکست مى‏دهیم. مسلمین در جنگ اُحد شکست خوردند. البته [اول] آنها فرار کردند و آخر قضیه برگشتند ولى خب بالأخره شکست بود. بر سر پیغمبر چه آمد و افراد و فلان! امیرالمؤمنین که اصلاً تمام تنش تکه‌تکه شده بود، آش و لاش! آن جنگ چه بود؟! ما همین هستیم دیگر! ما که خدا هستیم یا پیروز مى‏کنیم یا شکست مى‏دهیم. شما باید کار خودت را بکنی! به امید پیروزى رفته بودند. در جنگ جمل، پیروزى دادیم در جنگ نهروان به على علیه‌السّلام پیروزى دادیم و در جنگ صفین شکست دادیم! جنگ صفین به نفع چه کسى تمام شد؟! به نفع معاویه تمام شد دیگر! خدعۀ آن آقای کذایى و نیرنگ و فریبِ آدم‌های نفهم و قرآن‏ها را سرنیزه کردن و تمام شد و بعد هم حَکَمیت و هیچی دیگر، رفت پی ‌کارش! تمام هجده‌ ماه جنگ همه هوا رفت! اما براى امیرالمؤمنین هیچ فرق نمى‏کند. همین‌طورى نگاه مى‏کند! ببینید چیست؟! تماشا کنید! خدا را تماشا کنید! دُم شتر به زمین مى‏رسد ولى اگر برسد خیلى کیف دارد! دُم شتر به زمین مى‏رسد تا طرف بتواند یک ذرّه از حالات اینها را بفهمد، تازه بفهمد تااینکه خودش برسد، دُم شتر به زمین مى‏رسد. تازه برسد و فلان و ... اصلاً حالا دیگر چه بشود!</w:t>
      </w:r>
    </w:p>
    <w:p>
      <w:pPr/>
      <w:r>
        <w:rPr>
          <w:rtl w:val="0"/>
          <w:lang w:val="fa-IR"/>
        </w:rPr>
        <w:t xml:space="preserve">بله، وقتى که این‌طور مى‏شود آنچه بعدش گیر آدم مى‏آید خیلى شیرین است. حالا اینها را که امیرالمؤمنین نمى‏تواند روى منبر بگوید؛ به‌به! چه خوب شد! شماها آمدید و بساط را به‌هم زدید! همه چیز به‌هم مى‏ریزد؛ حکومت، خلافت، امر، نهى و همه چیز به‌هم می‌ریزد! آن را در دلش نگه مى‏دارد و فقط با چند نفرى که خلاصه باهم مِى‌ها را می‌زنند مى‏تواند سرّى را فاش کند یا سرّى را منتقل کند والاّ بقیۀ افراد نه! چرا این‌طورى کردى؟! چرا آن‌طور کردى؟! خطا کردى فلان کردى، این مسائل در جاى خودش هست!</w:t>
      </w:r>
    </w:p>
    <w:p>
      <w:pPr/>
      <w:r>
        <w:rPr>
          <w:rtl w:val="0"/>
          <w:lang w:val="fa-IR"/>
        </w:rPr>
        <w:t xml:space="preserve">همین قضیه را باید افرادى که متصدى مسائل اعتقادى مردم هستند درنظر بگیرند. خیلى قضایا، مسائل اعتقادى، مسئولیت‏ها ـ حالا نه مسئولیت‏هاى کلى ـ همین مسئولیت خانواده، مسئولیت یک فرد، مسئولیت جمع و افراد، حتى در همین حدود و اینها [رعایت کنند] تا چه برسد به اینکه بخواهند مسئولیت فتوایی به‌عهده بگیرند که واویلاست! بله، خدا به دادمان برسد!</w:t>
      </w:r>
    </w:p>
    <w:p>
      <w:pPr/>
      <w:r>
        <w:rPr>
          <w:rtl w:val="0"/>
          <w:lang w:val="fa-IR"/>
        </w:rPr>
        <w:t xml:space="preserve">ما در راه مى‏آمدیم به آقا گفتیم که فلان قضیه این‌طور بود. گفت: آقا این قرار بود دیشب انجام بشود. گفتم: عجب! اى داد بى داد! پس معلوم مى‏شود پیر شدیم! معلوم مى‏شود ما پیر شدیم و نیاز به یک مذکّر داریم.</w:t>
      </w:r>
    </w:p>
    <w:p>
      <w:pPr/>
      <w:r>
        <w:rPr>
          <w:rtl w:val="0"/>
          <w:lang w:val="fa-IR"/>
        </w:rPr>
        <w:t xml:space="preserve">شخصى مى‏گفت: یک برترى که جماعت نسوان بر مردها دارند این است که حافظه‏شان خیلى زیاد است! صد گیگابایت حافظه دارند! مثلاً شما پانزده سال پیش جایى براى ناهار خوردن رفته بودید و ما اصلاً رفتن به آنجا را فراموش کرده‏ایم، چه برسد به اینکه ناهار چه خوردیم ولى اینها علاوه بر غذا، مزه‏اش را هم به یاد دارند! حالا امروز غذا درست مى‏کند می‌گوید: ببین فلانى! آن غذایى که پانزده سال پیش خوردیم، آن خوشمزه‏تر است یا این؟</w:t>
      </w:r>
    </w:p>
    <w:p>
      <w:pPr/>
      <w:r>
        <w:rPr>
          <w:rtl w:val="0"/>
          <w:lang w:val="fa-IR"/>
        </w:rPr>
        <w:t xml:space="preserve">یک دفعه به ما یک هم‌چنین حرفى زده شد، گفتم: آقا من صبحانه که مى‏خورم یادم مى‏رود چه خورده‏ام، نان قندى بود یا نان و پنیر بود یا نمى‏دانم چه چیز بوده است. آن‌وقت تو مى‏خواهى بگویى: دو هفته پیش...! من چه مى‏دانم! آقا اینها پانزده سال و سى‏سال پیش هم یادشان هست! این چه مغزى است؟! این قضیه از عجائب است!</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قال شَیخُنا و سَیدُنا و مَن إلَیهِ سَنَدُنا فى العُلومِ أدامَ الله عُلوَّه و مَجدَه فى بَعضِ کتُبِه العَقلیة.</w:t>
      </w:r>
      <w:r>
        <w:rPr>
          <w:rStyle w:val="FootnoteReference"/>
        </w:rPr>
        <w:footnoteReference w:id="5"/>
      </w:r>
    </w:p>
    <w:p>
      <w:pPr/>
      <w:r>
        <w:rPr>
          <w:rtl w:val="0"/>
          <w:lang w:val="fa-IR"/>
        </w:rPr>
        <w:t xml:space="preserve">همان‌طورى‌که درنظر رفقا هست مسئلۀ مُثل افلاطونى را در سال گذشته تا حدودى در اطرافش صحبت کردیم و عرض کردیم که این بزرگان مطالبشان در آن حدى نیست که بخواهد قابل طعنه و قابل اشکال و ایراد به این کیفیت باشد. اینها با صفاى دلشان و با روشنى ضمیرشان مسائلى را ادراک مى‏کردند که از دیدگان بقیه مخفى بود و حتى مى‏خواهم عرض کنم آنهایى که اهل تتبّع، تحقیق، تفحّص و امثال‌ذلک در این‌گونه مسائل هستند و کتاب‌ها و مطالبى نوشته‏اند من وقتى مطالعه مى‏کنم مى‏بینم نه، فقط از این کتاب و آن کتاب نقل شده است و مسائل، مسائلى نیست که بخواهد از ضمیر دل و اتصال به غیب بخواهد نشئت بگیرد. اما این بزرگانى که این مسائل‏ را مطرح کرده‌اند و بیان کرده‌اند اینها صرفاً با استمداد از قواى عقلانى، تفکّر، تتبّع، تعلّم و امثال‌ذلک نبوده است بلکه مى‏توان گفت که با نوعى [از] آمیختگى با نفحات و بارقه‏هایى بود که بر قلب و بر دل آنها این نفحات و این بَوارق نازل مى‏شده است و آنها این مطالب را از آن افق نقل مى‏کردند. گرچه مى‏توانیم اضافه بر این مسئله مدعى بشویم که بالاتر از این مطلب مُثل مسائل دیگرى هم ممکن است وجود داشته باشد.</w:t>
      </w:r>
    </w:p>
    <w:p>
      <w:pPr/>
      <w:r>
        <w:rPr>
          <w:rtl w:val="0"/>
          <w:lang w:val="fa-IR"/>
        </w:rPr>
        <w:t xml:space="preserve">علیٰ‌کلّ‌حال بزرگان در مطالب خودشان، هرکدام از افق دید و منظر شهود خودشان صحبت مى‏کردند و هرکدام در جاى خودش، قابل تأمّل و قابل براى تحقیق است و عجب اینجاست که انسان مى‏بیند که بسیارى از مسائل عادىِ فلسفى از طرف افرادى که خودشان اهل فلسفه بوده‌اند مورد خدشه و مورد نقد قرار مى‏گرفت! من بعضى از مقالات را که مى‏خوانم در احوالات نویسندۀ آن مى‏گویم: اینها افرادى بودند که سال‌ها پیشِ بزرگان از فلاسفه و حکماء تعلّم کرده‏اند. تعجب مى‏کنم کسى که یک </w:t>
      </w:r>
      <w:r>
        <w:rPr>
          <w:rtl w:val="0"/>
          <w:lang w:val="fa-IR"/>
        </w:rPr>
        <w:t xml:space="preserve">منظومه</w:t>
      </w:r>
      <w:r>
        <w:rPr>
          <w:rtl w:val="0"/>
          <w:lang w:val="fa-IR"/>
        </w:rPr>
        <w:t xml:space="preserve"> خوانده باشد این حرف را نمى‏زند! چطور یک هم‌چنین سابقه‏اى راجع به یک‌ فرد ذکر مى‏شود و بعد آن شخص این مطلب را بیان مى‏کند! بنده بعضى از این نحوه نگرش‏ها را اگر درنظر داشته باشید در کتاب </w:t>
      </w:r>
      <w:r>
        <w:rPr>
          <w:rtl w:val="0"/>
          <w:lang w:val="fa-IR"/>
        </w:rPr>
        <w:t xml:space="preserve">افق وحى</w:t>
      </w:r>
      <w:r>
        <w:rPr>
          <w:rtl w:val="0"/>
          <w:lang w:val="fa-IR"/>
        </w:rPr>
        <w:t xml:space="preserve"> ذکر کردم که خیلى براى من باعث تعجب است که چطور انسان به این مطالب که مى‏توان گفت از مسائل ابتدایى فلسفه و مسائل حِکَمى هست نتوانسته است برسد؟! غیر از اینکه مى‏توانیم بگوییم: اینها فقط صرفاً آمده‌اند در این‌گونه مطالب یک تورق و یک تفحصى کرده‏اند ولى نخواسته‏اند یا نتوانسته‏اند دل خود و ضمیر خود و فکر و عقل خود را در این‌گونه مسائل غور بدهند و به آن نتایج حقیقى و واقعى برسند.</w:t>
      </w:r>
    </w:p>
    <w:p>
      <w:pPr>
        <w:pStyle w:val="Heading6"/>
      </w:pPr>
      <w:r>
        <w:rPr>
          <w:rtl w:val="0"/>
          <w:lang w:val="fa-IR"/>
        </w:rPr>
        <w:t xml:space="preserve">اختلاف دیدگاه بزرگان در بحث مُثل افلاطونی</w:t>
      </w:r>
    </w:p>
    <w:p>
      <w:pPr/>
      <w:r>
        <w:rPr>
          <w:rtl w:val="0"/>
          <w:lang w:val="fa-IR"/>
        </w:rPr>
        <w:t xml:space="preserve">در مسئلۀ مُثل افلاطونى مطلب به همین کیفیت هست و همین مسئله هست که بزرگان از حکماء و فلاسفه مانند مرحوم میرداماد یا امثال شیخ یا حتى خود مرحوم آخوند و مرحوم محقق دوانى در مقام توجیه برآمدند و مِثل متکلمین نیامدند اینها را رد کنند که آقا مُثل چیست؟! فرض کنید که هر چیزى یک رب النّوع داشته باشد و آن افراد در اعیان خارجى و متکوّن به ماده، متعلّق به آن رب النّوع کلى و نوعى باشند و دلیلى ندارد. اگر یک حقیقتى داراى تعیّن خارجى باشد، دیگر یک حقیقت جزئیه و متشخص بشود و اگر داراى تعیّن نباشد در همان ماهیت خودش به‌صورت کلى هست و حقایق وجودیه که نمى‏توانند متعلّق به یک ماهیت بدون تعیّن خارجى باشند! حالا یا تعیّن مادى یا تعیّن غیر مادى. تعیّن در غیر مادى هم علیٰ‌کلّ‌حال هست و هر چیزى که یک حیثیت ماهوى به او مى‏خورد داراى محدودیت وجودى خواهد بود که ما اسمش را ماهیت مى‏گذاریم. چه حالا ماهیتش مانند ماهیات مادى باشد یااینکه نه، ماهیتش همان جنبۀ محدودیت وجودى باشد.</w:t>
      </w:r>
    </w:p>
    <w:p>
      <w:pPr>
        <w:pStyle w:val="Heading6"/>
      </w:pPr>
      <w:r>
        <w:rPr>
          <w:rtl w:val="0"/>
          <w:lang w:val="fa-IR"/>
        </w:rPr>
        <w:t xml:space="preserve">بی‌معنا بودن تعیّن در ماهیت</w:t>
      </w:r>
    </w:p>
    <w:p>
      <w:pPr/>
      <w:r>
        <w:rPr>
          <w:rtl w:val="0"/>
          <w:lang w:val="fa-IR"/>
        </w:rPr>
        <w:t xml:space="preserve">بالأخره متعیّن است و از اطلاق خارج مى‌باشد. بالأخره یک چیزی است که خارجى است. ، تعیّن در ماهیت معنا ندارد. آنچه که موجب تعیّن و تشخّص هست حقیقت وجود هست و ماهیت </w:t>
      </w:r>
      <w:r>
        <w:rPr>
          <w:rStyle w:val="Arabi"/>
          <w:rtl w:val="0"/>
          <w:lang w:val="fa-IR"/>
        </w:rPr>
        <w:t xml:space="preserve">لا أیسٌ و لا لیسٌ</w:t>
      </w:r>
      <w:r>
        <w:rPr>
          <w:rtl w:val="0"/>
          <w:lang w:val="fa-IR"/>
        </w:rPr>
        <w:t xml:space="preserve"> هست. بنابراین این مسئله مورد خدشه است.</w:t>
      </w:r>
    </w:p>
    <w:p>
      <w:pPr/>
      <w:r>
        <w:rPr>
          <w:rtl w:val="0"/>
          <w:lang w:val="fa-IR"/>
        </w:rPr>
        <w:t xml:space="preserve">پاسخ‌هایی در اینجا دادند که ما خواندیم تا رسیدیم به مسئله و توجیه مرحوم سید که ایشان در اینجا توجیهى دارند که نسبتاً توجیه ایشان هم می‌شود گفت موجّه است و ایشان در باب قضاء کلى و قَدَر جزئى مطلب را بالا برده‌اند و از همان‌جا که یک جهت نقلى هم به مسئله داده مى‏شود با بیان خودشان ـ البته این مطلب در </w:t>
      </w:r>
      <w:r>
        <w:rPr>
          <w:rtl w:val="0"/>
          <w:lang w:val="fa-IR"/>
        </w:rPr>
        <w:t xml:space="preserve">افق مبین</w:t>
      </w:r>
      <w:r>
        <w:rPr>
          <w:rtl w:val="0"/>
          <w:lang w:val="fa-IR"/>
        </w:rPr>
        <w:t xml:space="preserve"> هست ایشان در آنجا آورده‌اند ـ در آنجا این مسئله را به این کیفیت بیان کرده‌اند و همان‌طور که عرض کردیم ـ این مطلب را ظاهراً در باب قضاء و قدر آن‌طور که یادم هست در سال گذشته عرض‏ کردیم ـ حالا به‌نحو فهرست عرض مى‏کنیم که در مسئلۀ قضاء کلى و قَدَر جزئى چه اختلاف و تفاوتى هست و چه امتزاج و اختلاطى هست.</w:t>
      </w:r>
    </w:p>
    <w:p>
      <w:pPr>
        <w:pStyle w:val="Heading6"/>
      </w:pPr>
      <w:r>
        <w:rPr>
          <w:rtl w:val="0"/>
          <w:lang w:val="fa-IR"/>
        </w:rPr>
        <w:t xml:space="preserve">معنای قضای کلی</w:t>
      </w:r>
    </w:p>
    <w:p>
      <w:pPr/>
      <w:r>
        <w:rPr>
          <w:rtl w:val="0"/>
          <w:lang w:val="fa-IR"/>
        </w:rPr>
        <w:t xml:space="preserve">در آنجا وقتى این مطلب را بیان مى‏کنند مى‏گویند: مُثُل هم همین هست مُثُل هم همین مسائلى است که ما در باب قضاء و قدر گفتیم. در باب قضاء و قدر یک قضاء قضاء کلى است و عبارت از حقایق غیر قابل تغیّر و تبدّل و تحوّل است که از آن به یک حقایق کلیّه تعبیر مى‏شود، هم نسبت به اعیان خارجی و موجودات خارجى و هم نسبت به تصورات، اطوار، صفات، افعال، حرکات، تغیّرات و تبدّلات خارجى، در تمام اینها یک حقیقت کلى وجود دارد که از آن تعبیر به قضاء کلى مى‏شود. در قضاء کلى الهیه است که انسان باید به این کیفیت و به این خصوصیت، تعیّن و عینیّت خارجى پیدا بکند. این به آن قضاء کلى برمى‏گردد.</w:t>
      </w:r>
    </w:p>
    <w:p>
      <w:pPr/>
      <w:r>
        <w:rPr>
          <w:rtl w:val="0"/>
          <w:lang w:val="fa-IR"/>
        </w:rPr>
        <w:t xml:space="preserve">این مسائل را بنده در یکى از صحبت‌هایم عرض کردم که این مسائل چطور طبقه‌بندى مى‏شود و در آن طبقات بالا مى‏بینیم که یک حقیقت کلى قرار مى‏گیرد. حالا یک مثال مى‏زنم بقیه را خودمان مى‏توانیم استنتاج کنیم. شما الآن در خارج دو مصداق از این نوعیت انسان مشاهده مى‏کنید؛ یکى مذکر و یکى مؤنث. هرکدام داراى افکار خودشان هستند و داراى رفتار خودشان هستند و داراى خصوصیات جسمانى مختلف ـ چه در مورد مرد و چه در مورد زن ـ و داراى سلیقه‏هاى مختلف و داراى افکار مختلف و خصوصیات مختلف، هم در توان و استعدادهاى ظاهرى و هم در استعدادهاى باطنى و توان باطنى هستند و این قابل حس است و همه مشاهده مى‏کنند و جاى انکار هم نیست. یک چیز محسوسى است که جاى انکار هم نیست و هر کسی هم که انکار بکند این تقریباً دیگر مکابره‌ای انجام داده است. در این قضیه شک نداریم.</w:t>
      </w:r>
    </w:p>
    <w:p>
      <w:pPr/>
      <w:r>
        <w:rPr>
          <w:rtl w:val="0"/>
          <w:lang w:val="fa-IR"/>
        </w:rPr>
        <w:t xml:space="preserve">امروز هم در این زمینه حتى افراد غیر وابسته به فرهنگ و ثقافۀ اسلامى در این زمینه اعترافاتى کرده‏اند و مطالبى را گفته‏اند و راجع به اختلاف بین زن و مرد و تکلیفى که متوجه هرکدام از این دوتاست براساس این اختلاف تعلّق مى‏گیرد کتاب‏هایى‏ نوشته‏اند. کتاب‌هاى خوبى نوشته‏اند، مطالب خوبی گفته‌اند، مقالات خوبى گفته‏اند.</w:t>
      </w:r>
    </w:p>
    <w:p>
      <w:pPr>
        <w:pStyle w:val="Heading6"/>
      </w:pPr>
      <w:r>
        <w:rPr>
          <w:rtl w:val="0"/>
          <w:lang w:val="fa-IR"/>
        </w:rPr>
        <w:t xml:space="preserve">اهمیت بازگشت به فطرت برای همۀ افراد</w:t>
      </w:r>
    </w:p>
    <w:p>
      <w:pPr/>
      <w:r>
        <w:rPr>
          <w:rtl w:val="0"/>
          <w:lang w:val="fa-IR"/>
        </w:rPr>
        <w:t xml:space="preserve">طبیعى است وقتى که انسان به فطرت خود برمى‏گردد غیر از آنچه که در ظاهر مطرح است مى‏یابد و غیر از آنچه که افراد به‌خاطر مسائل خودشان، به‌خاطر مصالح خودشان بیان مى‏کنند آنها را مشاهده مى‏کند و مى‏یابد و اعتراف مى‏کند به حقایقى که در این عالم وجود دارد. در این زمینه حتى خارجى‌ها هم کتاب‏هایى نوشته‌اند و اعتراف‏هایى کرده‏اند. حتى کتابى که اخیراً ـ قاعدتاً باید ترجمه شده باشد ـ نوشته شده است و نویسنده‏اش هم یک خانم قاضى در نیویورک است و ایشان کتابی نوشته است که بسیار کتاب خوبى است راجع به اختلافات بین زن و مرد و تکلیفى که متوجه هرکدام از اینهاست و شدیداً فرهنگ غرب را به باد انتقاد گرفته است و گفته که جایگاه زن را غیر از آنچه که هست و طبیعت به او عرضه کرده ـ حالا بر اصطلاح او ـ قرار داده‌اند و باید برگردند و به همان نقطه‏اى که آن نقطه، واقعیت هست برسیم و غیر از این‌هم آثارش همین مى‏شود که ما داریم مشاهده مى‏کنیم و الآن هم هست و هیچ فرقى نکرده است. پیشرفت تکنولوژى و تکنیک و ارتقاء این مسائل علمى هیچ‌گونه تأثیرى در مسائل اصلى و نگرش‏هاى افراد ایجاد نکرده است.</w:t>
      </w:r>
    </w:p>
    <w:p>
      <w:pPr>
        <w:pStyle w:val="Heading6"/>
      </w:pPr>
      <w:r>
        <w:rPr>
          <w:rtl w:val="0"/>
          <w:lang w:val="fa-IR"/>
        </w:rPr>
        <w:t xml:space="preserve">انحطاط فکری در قرن جدید</w:t>
      </w:r>
    </w:p>
    <w:p>
      <w:pPr/>
      <w:r>
        <w:rPr>
          <w:rtl w:val="0"/>
          <w:lang w:val="fa-IR"/>
        </w:rPr>
        <w:t xml:space="preserve">بله، براى آن کسانى که به‌دنبال واقعیت و حقیقت مى‏روند و براى ادراک مطلب، اینها همه خوب بوده و مفید هست و جاى شک نیست اما براى عامۀ افراد مسئله این‌طور نیست بلکه تفکراتى که امروزه بر جوامع ملل، حاکم است اگر نگوییم بسیار منحط‌تر و پست‏تر و دورتر از افق انسانى و دورتر از ارزش‏هاى انسانى از افراد هزار سال پیش و دو هزار سال پیش و سه هزار سال پیش است، اگر پایین‌تر نباشد حداقل در سطح آنهاست و بالاتر نیست!</w:t>
      </w:r>
    </w:p>
    <w:p>
      <w:pPr/>
      <w:r>
        <w:rPr>
          <w:rtl w:val="0"/>
          <w:lang w:val="fa-IR"/>
        </w:rPr>
        <w:t xml:space="preserve">مسائلى را که انسان مشاهده مى‏کند، مطالبى را که مى‏شنود، تفکراتى را که‏ از افراد مى‏بیند و نگرش آنها، واقعاً چِندِش‌آور است و واقعاً مهوّع است و تهوّع براى انسان پیش مى‏آورد وقتى که انسان مى‏بیند انسانى که در عصر کذا و کذا [در این] شکوفایى علمى است چگونه در خارج تفکرات خودش را عرضه مى‏کند و کارهاى خودش را انجام مى‏دهد، چه ارزش‏هایى را قبول دارد و به چه ارزش‌ها پشت‌پا مى‏زند! خیلى واقعاً تأسف‌آور است که انسان در این دوره و زمانه مسائلى را مطرح کند که حکایت از بى‌نیازى و عدم احتیاج انسان به رابط بین عالَم ماده و عالم ملکوت است. این خیلى دور بودن از واقعیت را مى‏طلبد که انسان چشم روى همۀ وقایع ببندد و پا روى همۀ چیزها قرار بدهد.</w:t>
      </w:r>
    </w:p>
    <w:p>
      <w:pPr/>
      <w:r>
        <w:rPr>
          <w:rtl w:val="0"/>
          <w:lang w:val="fa-IR"/>
        </w:rPr>
        <w:t xml:space="preserve">اشکالى که بر عرب جاهلیت مى‏کردند این است که چطور دختر چهارساله و پنج‌ساله را با دست خودش زنده‌به‌گور مى‏کرد! آن کسى که یک مشت افراد بى‏گناه را که در آن هواپیما از یک‌جا به‌جاى دیگر مى‏روند ـ پیرمرد در آن هواپیما هست بچۀ شیرخوار و زن در آن هست که به مسائل سیاست و این حرف‌ها ربطى ندارد ـ با یک موشک که شلیک مى‏کند تکه‌تکه مى‏کند! آیا این بدتر است یا آن بدتر است؟! اگر قرار باشد ما او را دور از انسانیت بدانیم قطعاً باید اسم حیوان بر این فرد بگذاریم چون دارد با چشم خودش مى‏بیند. آن‌ کسى که دارد یک هواپیمایى را می‌راند و بر بالاى یک مدرسه که بچه‏ها دارند در صحن مدرسه بازی می‌کنند مى‏بیند و مشاهده مى‏کند و بعد بمب را در آنجا مى‏اندازد آن حیوان‏تر است یا آن عرب که دختر چهارساله یا پنج‏سالۀ خودش را زنده‌به‌گور مى‏کند؟! او دارد از بالا [سوخته] شدن اینها را تماشا مى‏کند و بمب را مى‌اندازد. کدام حیوان‏تر هستند؟! کدام از انسانیت دورتر هستند؟! </w:t>
      </w:r>
      <w:r>
        <w:rPr>
          <w:rStyle w:val="Arabi"/>
          <w:rtl w:val="0"/>
          <w:lang w:val="fa-IR"/>
        </w:rPr>
        <w:t xml:space="preserve">و قِس علىٰ هذا،</w:t>
      </w:r>
      <w:r>
        <w:rPr>
          <w:rtl w:val="0"/>
          <w:lang w:val="fa-IR"/>
        </w:rPr>
        <w:t xml:space="preserve"> هر کسی مى‏خواهد باشد، چه مسلمان باشد، چه مسیحى باشد، چه شیعه باشد، فرق نمى‏کند! چه عالِم باشد، چه غیر عالم باشد، چه روحانى باشد، هیچ‏ تفاوتى ندارد! منظور، گرفتار شدن در نفس أمّاره و دور بودن از فرهنگ توحید و فرهنگ اولیاء الهى است!</w:t>
      </w:r>
    </w:p>
    <w:p>
      <w:pPr>
        <w:pStyle w:val="Heading6"/>
      </w:pPr>
      <w:r>
        <w:rPr>
          <w:rtl w:val="0"/>
          <w:lang w:val="fa-IR"/>
        </w:rPr>
        <w:t xml:space="preserve">آثار دور بودن از فرهنگ توحید و فرهنگ اولیاء الهى</w:t>
      </w:r>
    </w:p>
    <w:p>
      <w:pPr/>
      <w:r>
        <w:rPr>
          <w:rtl w:val="0"/>
          <w:lang w:val="fa-IR"/>
        </w:rPr>
        <w:t xml:space="preserve">کسى که از آن فرهنگ دور باشد دست به همه‌ کارى مى‏زند؛ در هر لباسى و موقعیتى به آن کار دست مى‏زند و اگر نزند، معلوم است مصلحتش اقتضاء نکرده است یا نمى‏توانسته است! براى رسیدن به آن منویاتِ خودش و نفسانیاتِ خودش، شما مى‏بینید همه ‌کار انجام مى‏دهد. لباس نمى‏تواند مانع باشد از اینکه انسان نفسانیات خود را و فرهنگ خود را بتواند کنار بگذارد! این نفسانیات در نفس، عقل را به اسارت گرفته‌اند و فطرت را به اسارت مى‏گیرند و بعد در خارج ظهور و نمودشان این است که ما مشاهده مى‏کنیم! فرق نمى‏کند و هیچ تفاوتى نمى‏کند. همین‌قدر که یک حیثیتى براى خود اقتضاء بکند همه ‌کار انجام مى‏دهد و اسم خودش و اسم آن [کار] را هم همه‌ چیز مى‏گذارد؛ هر چیزى که بخورد؛ دیگر نیاز به تسمیه ندارد، این تسمیه را هم براى عوام‌فریبى مى‏گذارد والاّ کار خودش را انجام مى‏دهد.</w:t>
      </w:r>
    </w:p>
    <w:p>
      <w:pPr>
        <w:pStyle w:val="Heading6"/>
      </w:pPr>
      <w:r>
        <w:rPr>
          <w:rtl w:val="0"/>
          <w:lang w:val="fa-IR"/>
        </w:rPr>
        <w:t xml:space="preserve">انسان دارای یک حقیقت واحده</w:t>
      </w:r>
    </w:p>
    <w:p>
      <w:pPr>
        <w:pStyle w:val="Heading6"/>
      </w:pPr>
      <w:r>
        <w:rPr>
          <w:rtl w:val="0"/>
          <w:lang w:val="fa-IR"/>
        </w:rPr>
        <w:t xml:space="preserve">معنای مقام خلافة‌اللهى و جانشینى انسان</w:t>
      </w:r>
    </w:p>
    <w:p>
      <w:pPr/>
      <w:r>
        <w:rPr>
          <w:rtl w:val="0"/>
          <w:lang w:val="fa-IR"/>
        </w:rPr>
        <w:t xml:space="preserve">در قضاء کلى الهى مسئله این است که انسان یک حقیقت واحده است که آن حقیقت واحده داراى این خصوصیات است؛ مقام خلافة‌اللهى دارد، واجد اسماء کلیه و جامعیت اسماء و صفات کلیه هست و به همین جهت مخلّع به خلعت خلافة‌اللهى و جانشینى است یعنى همان وجود نازله و متجسّم پروردگار در عالم اعیان و در عالم خارج، این را خلیفةُ‌الله مى‏گویند.</w:t>
      </w:r>
    </w:p>
    <w:p>
      <w:pPr>
        <w:pStyle w:val="Heading6"/>
      </w:pPr>
      <w:r>
        <w:rPr>
          <w:rtl w:val="0"/>
          <w:lang w:val="fa-IR"/>
        </w:rPr>
        <w:t xml:space="preserve">معنای مقام خلیفةاللهی</w:t>
      </w:r>
    </w:p>
    <w:p>
      <w:pPr/>
      <w:r>
        <w:rPr>
          <w:rtl w:val="0"/>
          <w:lang w:val="fa-IR"/>
        </w:rPr>
        <w:t xml:space="preserve">آثار خدا همه‌جا هست و آیات ‌الهى همه‌جا هست؛ </w:t>
      </w:r>
      <w:r>
        <w:rPr>
          <w:rtl w:val="0"/>
          <w:lang w:val="fa-IR"/>
        </w:rPr>
        <w:t xml:space="preserve">﴿سَنُرِيهِمۡ ءَايَٰتِنَا فِي ٱلۡأٓفَاقِ وَفِيٓ أَنفُسِهِمۡ حَتَّىٰ يَتَبَيَّنَ لَهُمۡ أَنَّهُ ٱلۡحَقُّ أَوَ لَمۡ يَكۡفِ بِرَبِّكَ أَنَّهُۥ عَلَىٰ كُلِّ شَيۡءٖ شَهِيد﴾</w:t>
      </w:r>
      <w:r>
        <w:rPr>
          <w:rStyle w:val="FootnoteReference"/>
        </w:rPr>
        <w:footnoteReference w:id="6"/>
      </w:r>
      <w:r>
        <w:rPr>
          <w:rtl w:val="0"/>
          <w:lang w:val="fa-IR"/>
        </w:rPr>
        <w:t xml:space="preserve"> آیات در همه‌جا هست و نشانه در همه‌جا هست ولى خدا به کسى مقام خلافة‌اللهى اطلاق نکرده است زیرا آنها حصّه‏اى از مراتب وجود که همان اسماء هست را دارند و داراى همۀ اسم هم نیستند همۀ صفت هم نیستند ولى انسان داراى همۀ اسماء و صفات هست بنابراین مى‏تواند خلیفه باشد؛ خلیفۀ الهى در فلان اسم، خلیفۀ الهى در فلان صفت، خلیفۀ الهى در این مسئله. این مقامِ [خلیفةُاللهى] می‌شود. خیلى مسئله، مسئلۀ عجیب و والایى است و خیلی قضیه بالاست! چندى پیش عرض کردم مسئله آن‌قدر بالاست که انسان حتى جرأت مطرح کردن آن را ندارد که این مقام خلافة‌اللهى وقتى به فعلیت برسد چه‌ها خواهد شد و چه مسائلى پیش خواهد آمد! بنده که تابه‌حال جرأت نکرده‏ام بیان کنم! این برای مسئلۀ خلافة‌اللهى است که انسان به آن حیثیت استجماع صفات و اسماء کلیه مى‏خواهد دسترسى پیدا کند. این مافوق تصور ماست و ما حتى نمى‏توانیم تصورش را بکنیم.</w:t>
      </w:r>
    </w:p>
    <w:p>
      <w:pPr>
        <w:pStyle w:val="Heading6"/>
      </w:pPr>
      <w:r>
        <w:rPr>
          <w:rtl w:val="0"/>
          <w:lang w:val="fa-IR"/>
        </w:rPr>
        <w:t xml:space="preserve">بروز و ظهور مقام خلافة‌اللهى در عالم اعیان</w:t>
      </w:r>
    </w:p>
    <w:p>
      <w:pPr/>
      <w:r>
        <w:rPr>
          <w:rtl w:val="0"/>
          <w:lang w:val="fa-IR"/>
        </w:rPr>
        <w:t xml:space="preserve">این مقام خلافة‌اللهی وقتى در عالم اعیان بروز و ظهور پیدا مى‏کند به این شکل و به این کیفیت در خواهد آمد. این مربوط به اعیان خارجى است و مربوط به عینیت خارجى است که یکى مرد مى‏شود، یکى زن، یکى داراى این خصوصیت مى‏شود، افکار مختلف می‌شود، اوصاف مختلف مى‏شود و همان‌طورى‌که مسائل ظاهرى و حالات ظاهرى فرق می‌کند حالات باطنى هم تفاوت مى‏کند و این به اعیان خارجى مربوط مى‏شود. ولى آن واقعیت مقام خلافة‌اللهى که همان حقیقت انسان است به یک حقیقت واحده برمی‌گردد که آن حقیقت واحده نه مذکر دارد و نه مؤنث دارد. اصلاً مذکر در آنجا معنا ندارد، آن همان حقیقت انسانیت می‌شود و </w:t>
      </w:r>
      <w:r>
        <w:rPr>
          <w:rtl w:val="0"/>
          <w:lang w:val="fa-IR"/>
        </w:rPr>
        <w:t xml:space="preserve">﴿نَفَخۡتُ فِيهِ مِن رُّوحِي﴾</w:t>
      </w:r>
      <w:r>
        <w:rPr>
          <w:rtl w:val="0"/>
          <w:lang w:val="fa-IR"/>
        </w:rPr>
        <w:t xml:space="preserve"> آن هست؛ آن مسئله هست که شاید نظر افلاطون در قضیۀ مُثُل نوریه در انسان، اشاره به این حقیقت واحده دارد که از این حقیقت واحده آن حقایق مختلفه در آنجا نشئت مى‏گیرد.</w:t>
      </w:r>
    </w:p>
    <w:p>
      <w:pPr/>
      <w:r>
        <w:rPr>
          <w:rtl w:val="0"/>
          <w:lang w:val="fa-IR"/>
        </w:rPr>
        <w:t xml:space="preserve">البته محیی‌الدین در این زمینه در کتاب </w:t>
      </w:r>
      <w:r>
        <w:rPr>
          <w:rtl w:val="0"/>
          <w:lang w:val="fa-IR"/>
        </w:rPr>
        <w:t xml:space="preserve">فصوص</w:t>
      </w:r>
      <w:r>
        <w:rPr>
          <w:rtl w:val="0"/>
          <w:lang w:val="fa-IR"/>
        </w:rPr>
        <w:t xml:space="preserve"> هم مطالبى دارد. در </w:t>
      </w:r>
      <w:r>
        <w:rPr>
          <w:rtl w:val="0"/>
          <w:lang w:val="fa-IR"/>
        </w:rPr>
        <w:t xml:space="preserve">فتوحات</w:t>
      </w:r>
      <w:r>
        <w:rPr>
          <w:rtl w:val="0"/>
          <w:lang w:val="fa-IR"/>
        </w:rPr>
        <w:t xml:space="preserve"> هم خیلى مسئله را گسترش داده است و همان مسئلۀ مُثُل به صورت حقیقت نوریۀ انسانیه که در نفس رسول الله صلّی الله و علیه و آله و سلّم هست در آنجا ظهور پیدا مى‏کند. مى‏توانیم به این نحوه، ما در اینجا مطلب را مطرح کنیم.</w:t>
      </w:r>
    </w:p>
    <w:p>
      <w:pPr/>
      <w:r>
        <w:rPr>
          <w:rtl w:val="0"/>
          <w:lang w:val="fa-IR"/>
        </w:rPr>
        <w:t xml:space="preserve">علیٰ‌کل‌ّحال آن حقیقت نوریه که شما «مجلاى ولایت» هم مى‏توانید اسمش را بگذارید «مجراى ولایت» یا «ظهور ولایت»، </w:t>
      </w:r>
      <w:r>
        <w:rPr>
          <w:rStyle w:val="RevayatArabi"/>
          <w:rtl w:val="0"/>
          <w:lang w:val="fa-IR"/>
        </w:rPr>
        <w:t xml:space="preserve">«نَحنُ صَنائِعُ الله و الخَلقُ بعدُ صَنائعُ لَنا»</w:t>
      </w:r>
      <w:r>
        <w:rPr>
          <w:rStyle w:val="FootnoteReference"/>
        </w:rPr>
        <w:footnoteReference w:id="7"/>
      </w:r>
      <w:r>
        <w:rPr>
          <w:rtl w:val="0"/>
          <w:lang w:val="fa-IR"/>
        </w:rPr>
        <w:t xml:space="preserve"> هم مى‏توانید اسمش را بگذارید. «واسطۀ فیض» می‌توانید اسمش را بگذارید تمام اینها، </w:t>
      </w:r>
      <w:r>
        <w:rPr>
          <w:rStyle w:val="RevayatArabi"/>
          <w:rtl w:val="0"/>
          <w:lang w:val="fa-IR"/>
        </w:rPr>
        <w:t xml:space="preserve">«أوَّلُ ما خَلَقَ الله»</w:t>
      </w:r>
      <w:r>
        <w:rPr>
          <w:rStyle w:val="FootnoteReference"/>
        </w:rPr>
        <w:footnoteReference w:id="8"/>
      </w:r>
      <w:r>
        <w:rPr>
          <w:rtl w:val="0"/>
          <w:lang w:val="fa-IR"/>
        </w:rPr>
        <w:t xml:space="preserve"> روایاتی که در این زمینه هست همۀ اینها می‌تواند در این زمینه موقعیت خودش را پیدا کند.</w:t>
      </w:r>
    </w:p>
    <w:p>
      <w:pPr>
        <w:pStyle w:val="Heading6"/>
      </w:pPr>
      <w:r>
        <w:rPr>
          <w:rtl w:val="0"/>
          <w:lang w:val="fa-IR"/>
        </w:rPr>
        <w:t xml:space="preserve">منظور از مُثل افلاطونی در دید افلاطون</w:t>
      </w:r>
    </w:p>
    <w:p>
      <w:pPr/>
      <w:r>
        <w:rPr>
          <w:rtl w:val="0"/>
          <w:lang w:val="fa-IR"/>
        </w:rPr>
        <w:t xml:space="preserve">این قضیه مربوط مى‏شود به آن حقیقت واحده‏اى که آن حقیقت واحده اولین حلقۀ اتصال بین حقائق خارجیه و بین آن نزول اسم و صفت خاص پروردگار در تکوّن این حقایق خارجى است. آن حلقۀ اول، مُثُل افلاطونى می‌شود. این را من در مورد انسان گفتم و شما همین را در مورد شیر هم مى‏توانید به‌کار ببرید، در مورد فیل، اسب، کلب، کلاغ، حمار، حیّه، امثال‌ذلک، حیوانات، جمادات و همۀ اینها با اختلافى که دارند وقتی به آن نقطه مى‏رسند در آن نقطه همۀ این اختلافات کنار مى‏رود و تبدیل به یک حیوان خاص مى‌شود که دریچۀ خاصِ ظهورِ فلان اسم را دارد بعد وقتى که در این عالم نزول پیدا مى‏کند شما او را به این شکل مى‏بینید ولى باید ببینید که بی‌خود و گُتره تبدیل به این شکل نشده است و بى‌جهت و برحسب صُدفه و اتفاق این حالت در او قرار نگرفته است. این چرخشى است که به‌واسطۀ نزول از آن مرتبۀ تجرد ـ تجردی که دارد و نوعیت کلیه‏اى که در آنجا دارد ـ در این عالم براى او حاصل شده است. تمام حرف افلاطون این مسئله است که این قضیه است؛ یعنى توجیه کلام افلاطون در اینجا به این کیفیت هست و به این مسئله در اینجا برمى‏گردد.</w:t>
      </w:r>
    </w:p>
    <w:p>
      <w:pPr>
        <w:pStyle w:val="Heading6"/>
      </w:pPr>
      <w:r>
        <w:rPr>
          <w:rtl w:val="0"/>
          <w:lang w:val="fa-IR"/>
        </w:rPr>
        <w:t xml:space="preserve">نظر سید میرداماد در مُثل افلاطونی</w:t>
      </w:r>
    </w:p>
    <w:p>
      <w:pPr/>
      <w:r>
        <w:rPr>
          <w:rtl w:val="0"/>
          <w:lang w:val="fa-IR"/>
        </w:rPr>
        <w:t xml:space="preserve">مرحوم سید میرداماد همین مطلب را به یک نحوۀ دیگر بیان مى‏کنند. البته در کیفیت تقریرشان یک نکاتى هست که حالا بنده عرض مى‏کنم ولى لبّ مطلبشان به همین مطلب برمى‏گردد یعنى اگر ما دیگر خیلى نخواهیم مته به خشخاش بگذاریم روى تعابیرى که ایشان آوردند ـ چون در آنجا هم یک مسائل قابل تأملى هست ـ [مى‏گوییم که] ایشان هم مى‏خواهند همین را در اینجا بیان کنند منتها با یک تعابیر و با مثال‌هایی که خاص خود ایشان هست مطالب را بیان مى‏کنند. در تقسیم‌بندى که بین اعیان خارجى و مُلکى و بین حقایق مجرده کرده‏اند و آن حقایق ملکى را در رتبۀ متأخر از آن مرتبۀ قضاء قرار مى‏دهند که در اینجا ما حرف داریم. ایشان آن حقیقتش را در آن علم عنائى حق تصور مى‏کنند که به قضاء کلى و لوح محفوظ برمى‏گردد. [لوح محفوظ] غیر از لوح محو و اثبات مى‏باشد که مرتبۀ قَدَر است و مى‏آید در آنجا تقدیر مى‏شود. در آن لوح محفوظ، ایشان آنها را در آنجا به یک نحو کلى مى‏داند گرچه ارتباط بین آن لوح محفوظ و لوح محو و اثبات را انکار نمى‏کنند و اتصال بین مُلک که غیر مجرد است و بین آن حقیقت مجردۀ خود را هم رد نمى‏کنند.</w:t>
      </w:r>
    </w:p>
    <w:p>
      <w:pPr/>
      <w:r>
        <w:rPr>
          <w:rtl w:val="0"/>
          <w:lang w:val="fa-IR"/>
        </w:rPr>
        <w:t xml:space="preserve">در اینجا یک شبهه‏اى پیش مى‏آید که إن‌شاءالله ما به آن مسئله در جلسۀ بعد مى‏رسیم.</w:t>
      </w:r>
    </w:p>
    <w:p>
      <w:pPr>
        <w:pStyle w:val="Heading6"/>
      </w:pPr>
      <w:r>
        <w:rPr>
          <w:rtl w:val="0"/>
          <w:lang w:val="fa-IR"/>
        </w:rPr>
        <w:t xml:space="preserve">اختلاف خصوصیات بقاء در هر امام</w:t>
      </w:r>
    </w:p>
    <w:p>
      <w:pPr>
        <w:pStyle w:val="SoalMatn"/>
      </w:pPr>
      <w:r>
        <w:rPr>
          <w:rtl w:val="0"/>
          <w:lang w:val="fa-IR"/>
        </w:rPr>
        <w:t xml:space="preserve">تلمیذ:</w:t>
      </w:r>
      <w:r>
        <w:rPr>
          <w:rtl w:val="0"/>
          <w:lang w:val="fa-IR"/>
        </w:rPr>
        <w:t xml:space="preserve"> این مطلب را نسبت به امام حسین علیه‌السّلام فرموده بودید که در رابطۀ با فلسفۀ قیام امام حسین و قضایایى که در کربلا صورت گرفت مافوق امامت هست؛ </w:t>
      </w:r>
      <w:r>
        <w:rPr>
          <w:rStyle w:val="RevayatArabi"/>
          <w:rtl w:val="0"/>
          <w:lang w:val="fa-IR"/>
        </w:rPr>
        <w:t xml:space="preserve">«و إنَّ لَکَ فی الجَنَّةِ دَرَجاتٍ لا تَنالُها إلّا بِالشَّهادَة»</w:t>
      </w:r>
      <w:r>
        <w:rPr>
          <w:rStyle w:val="FootnoteReference"/>
        </w:rPr>
        <w:footnoteReference w:id="9"/>
      </w:r>
      <w:r>
        <w:rPr>
          <w:rtl w:val="0"/>
          <w:lang w:val="fa-IR"/>
        </w:rPr>
        <w:t xml:space="preserve"> و اینکه یک مطلبى را سابق فرمودید که مقام، مقام رسول الله صلّی الله و علیه وآله و سلّم بود. اگر مقام رسول الله هم مقام انسان کامل باشد مگر امام علیه‌السّلام خودش به آن مرحله نرسیده است؟</w:t>
      </w:r>
    </w:p>
    <w:p>
      <w:pPr/>
      <w:r>
        <w:rPr>
          <w:rtl/>
          <w:lang w:val="fa-IR"/>
        </w:rPr>
        <w:t xml:space="preserve">استاد: ببینید من در آنجا هم عرض کردم که مسئلۀ رسیدن به آن مرتبۀ کشف کلى لازمۀ امامت هست چون در امام هیچ مطلب مجهولى نباید وجود داشته باشد و امام نفسش مبرّاى از هر نقطه‌ای و از هر مرتبۀ ضعفی و [از هر] مرتبۀ استعدادى است که فعلیت پیدا نکرده باشد! نفس امام به مرتبۀ آن شهود کلى مى‏رسد و به‌واسطۀ همین، آن قدرت و ولایت و اقتدار بر تمام زوایاى وجود در عالم مجرد و در عالم ماده [را دارد]. به‌خاطر همان، اشراف بر همۀ زوایاى وجود پیدا مى‏کند. این امام مى‏شود که مسئلۀ انجذاب و مسئلۀ ترقّى، رشد، تکامل، تربیت و اینها همه مسائلى است که در همین زمینه قرار مى‏دهیم. این یک مرتبه هست و این مرتبه را همۀ ائمه حائز هستند. وقتى که امام باشد خب اینها هم هست.</w:t>
      </w:r>
    </w:p>
    <w:p>
      <w:pPr>
        <w:pStyle w:val="Heading6"/>
      </w:pPr>
      <w:r>
        <w:rPr>
          <w:rtl w:val="0"/>
          <w:lang w:val="fa-IR"/>
        </w:rPr>
        <w:t xml:space="preserve">تصور غلط از سعۀ وجودی</w:t>
      </w:r>
    </w:p>
    <w:p>
      <w:pPr/>
      <w:r>
        <w:rPr>
          <w:rtl w:val="0"/>
          <w:lang w:val="fa-IR"/>
        </w:rPr>
        <w:t xml:space="preserve">اما یک خصوصیاتى هست که اینها برای مراتب بقاء هست و کارى به مرتبۀ فناء ندارد. آن خصوصیات بقاء در هر امامى مختلف است؛ در امام سجاد به یک نحو هست، در امام جواد به‌نحو دیگر هست، در امام هادى، در امام زمان و ... آن خصوصیات بقاء که مربوط به آن وضعیت و سعۀ وجودى خودشان مى‏شود آن مسئله به یک کیفیت وجود مربوط مى‏شود؛ یعنى نحوۀ سعۀ وجودى هرکدام. آن سعۀ وجودى یک‏ عبارتى است که درعین‌حال مجمل و مطلق است. تصور ما این است که مثلاً این فنجان حالا تبدیل به کاسه مى‏شود، سعۀ وجودى این نیست! سعۀ وجودى به معناى انکشاف اسماء و صفات خدا در اطوار مختلف و در تبدّلات و تحوّلات مختلف هست.</w:t>
      </w:r>
    </w:p>
    <w:p>
      <w:pPr/>
      <w:r>
        <w:rPr>
          <w:rtl w:val="0"/>
          <w:lang w:val="fa-IR"/>
        </w:rPr>
        <w:t xml:space="preserve">آن مسئله یعنى آن ظهور اسم کلى! چون خود نفس ذات، خود ذات فى‌حدّنفسه خودش به‌واسطۀ این اسم بروز و ظهور پیدا مى‏کند؛ یعنى هرچه که انسان از شهودات و انکشافات ذات براى او بخواهد حاصل بشود در مرتبۀ اسم قرار مى‏گیرد. بسته به اینکه آن ذات در این اسم، چه نحوه ظهور و تجلّى کرده است. به آن مقدار، انسان از مصداقیت ذات و اتّصاف به آن صفت بهره‏مند مى‏شود </w:t>
      </w:r>
      <w:r>
        <w:rPr>
          <w:rStyle w:val="RevayatArabi"/>
          <w:rtl w:val="0"/>
          <w:lang w:val="fa-IR"/>
        </w:rPr>
        <w:t xml:space="preserve">«و إنَّ لَکَ فی الجَنَّةِ دَرَجاتٍ لا تَنالُها إلّا بِالشَّهادَة»؛</w:t>
      </w:r>
      <w:r>
        <w:rPr>
          <w:rtl w:val="0"/>
          <w:lang w:val="fa-IR"/>
        </w:rPr>
        <w:t xml:space="preserve"> یعنى از آن تجلّى ذات در مرتبۀ اسم یک تجلیاتى هست که این تجلیات فقط باید در این موقعیت قرار بگیرد والاّ آن تجلیات نخواهد بود! ما راجع به غیر سیدالشهداء هم داریم منتها حالا راجع به سیدالشهداء چه هست؟! خب حالا به ما بیان نشده است که آن تجلیّات چیست؟! قابل فهم براى افراد هم نیست. اینها را فقط اولیاء خدا مى‏دانند</w:t>
      </w:r>
    </w:p>
    <w:p>
      <w:pPr>
        <w:pStyle w:val="Heading6"/>
      </w:pPr>
      <w:r>
        <w:rPr>
          <w:rtl w:val="0"/>
          <w:lang w:val="fa-IR"/>
        </w:rPr>
        <w:t xml:space="preserve">سرّ نفرین نکردن پیامبر اکرم در جنگ احد</w:t>
      </w:r>
    </w:p>
    <w:p>
      <w:pPr/>
      <w:r>
        <w:rPr>
          <w:rtl w:val="0"/>
          <w:lang w:val="fa-IR"/>
        </w:rPr>
        <w:t xml:space="preserve">مگر در جنگ اُحد دربارۀ پیغمبر نداریم که [به ایشان گفتند:] اى رسول خدا [نفرین کن] و حضرت به‌جاى [نفرین] دعا مى‏کرد: </w:t>
      </w:r>
      <w:r>
        <w:rPr>
          <w:rStyle w:val="RevayatArabi"/>
          <w:bCs/>
          <w:rtl/>
          <w:lang w:val="fa-IR"/>
        </w:rPr>
        <w:t xml:space="preserve">«اللهمّ إهدِ قَومى فإنّهُم لا یعلَمون».</w:t>
      </w:r>
      <w:r>
        <w:rPr>
          <w:rStyle w:val="FootnoteReference"/>
        </w:rPr>
        <w:footnoteReference w:id="10"/>
      </w:r>
      <w:r>
        <w:rPr>
          <w:rtl w:val="0"/>
          <w:lang w:val="fa-IR"/>
        </w:rPr>
        <w:t xml:space="preserve">‏ درحالی‌که جبرئیل مى‏گوید که از مرتبۀ رسالت تو هم کم نخواهد شد. این عجیب است! مرتبۀ رسالت یعنى مسئلۀ اتصال با ما. آن مرتبۀ اتصال با ما محفوظ است! وحی محفوظ است! القائات محفوظ است! شهود تو محفوظ است! پس چه چیزى در این وسط حاصل مى‏شود؟! چون بالأخره پیغمبر این‌طرف را انتخاب مى‏کند دیگر؛ </w:t>
      </w:r>
      <w:r>
        <w:rPr>
          <w:rStyle w:val="RevayatArabi"/>
          <w:rtl w:val="0"/>
          <w:lang w:val="fa-IR"/>
        </w:rPr>
        <w:t xml:space="preserve">«اللهمّ إهدِ قَومى»</w:t>
      </w:r>
      <w:r>
        <w:rPr>
          <w:rtl w:val="0"/>
          <w:lang w:val="fa-IR"/>
        </w:rPr>
        <w:t xml:space="preserve"> این است؟!</w:t>
      </w:r>
    </w:p>
    <w:p>
      <w:pPr/>
      <w:r>
        <w:rPr>
          <w:rtl w:val="0"/>
          <w:lang w:val="fa-IR"/>
        </w:rPr>
        <w:t xml:space="preserve">در انتخاب این‌طرف به پیغمبر چه داده مى‏شود؟! این همان است! همان تجلیات ذاتیه است که باید شخص عبور کند؛ از این مرتبه باید عبور کند. حالا مرتبه‏اى است که به‌واسطۀ تألّم‏هاى ظاهرى باشد و ممکن است به‌واسطۀ تألّم‏هاى حتی درونى باشد حتى ممکن است از ظاهرى هم بدتر باشد. کسى ممکن است بگوید: حاضرم هزار مرتبه کشته بشوم بهتر است تا این ...! پاى [حرفش هم] هست!</w:t>
      </w:r>
    </w:p>
    <w:p>
      <w:pPr>
        <w:pStyle w:val="Heading6"/>
      </w:pPr>
      <w:r>
        <w:rPr>
          <w:rtl w:val="0"/>
          <w:lang w:val="fa-IR"/>
        </w:rPr>
        <w:t xml:space="preserve">وقوع حادثۀ کربلا لازمۀ تجلی خاص شدن سیدالشهداء</w:t>
      </w:r>
    </w:p>
    <w:p>
      <w:pPr/>
      <w:r>
        <w:rPr>
          <w:rtl w:val="0"/>
          <w:lang w:val="fa-IR"/>
        </w:rPr>
        <w:t xml:space="preserve">براى سیدالشّهداء علیه‌السّلام یک نوع تجلّى خاصى بوده که مى‏بایست قضیۀ کربلا اتفاق بیفتد والاّ امامت حضرت به‌جاى خودش هست، دستگیرى همۀ نفوس هست ولایتش هست حکومتش بر مُلک و ملکوت هست همه به‌جاى خودش هست اما آن تجلّى نیست! آن خصوصیت نیست! آن یک چیز دیگرى است. آن مرتبۀ بقاء مى‏شود.</w:t>
      </w:r>
    </w:p>
    <w:p>
      <w:pPr>
        <w:pStyle w:val="SoalMatn"/>
      </w:pPr>
      <w:r>
        <w:rPr>
          <w:rtl w:val="0"/>
          <w:lang w:val="fa-IR"/>
        </w:rPr>
        <w:t xml:space="preserve">تلمیذ:</w:t>
      </w:r>
      <w:r>
        <w:rPr>
          <w:rtl w:val="0"/>
          <w:lang w:val="fa-IR"/>
        </w:rPr>
        <w:t xml:space="preserve"> که رسول الله دارد امام حسین ندارد؟</w:t>
      </w:r>
    </w:p>
    <w:p>
      <w:pPr/>
      <w:r>
        <w:rPr>
          <w:rtl w:val="0"/>
          <w:lang w:val="fa-IR"/>
        </w:rPr>
        <w:t xml:space="preserve">استاد: نه، نه! هرکدام نحوۀ خودشان را دارند. منتها براى سیدالشّهداء آن نحوۀ تجلّى خاص غیر از مسئلۀ امامت مى‏بایست انجام بشود. مطلب این است. حالا آیا مى‏توانیم بگوییم که آن خصوصیت را امام حسین دارد و امام سجاد ندارد؟!</w:t>
      </w:r>
    </w:p>
    <w:p>
      <w:pPr/>
      <w:r>
        <w:rPr>
          <w:rtl w:val="0"/>
          <w:lang w:val="fa-IR"/>
        </w:rPr>
        <w:t xml:space="preserve">این را نمى‏توانیم بگوییم، اثبات نمى‏کند. شاید امام سجاد یک چیز دیگر داشته است و شاید امام باقر علیهم‌السّلام یک چیز دیگر داشته است. اما براى سیدالشّهداء رسیدن به این مرتبه کربلا را مى‏خواست! به عرضم رسیدید یا نرسیدید؟!</w:t>
      </w:r>
    </w:p>
    <w:p>
      <w:pPr>
        <w:pStyle w:val="SoalMatn"/>
      </w:pPr>
      <w:r>
        <w:rPr>
          <w:rtl w:val="0"/>
          <w:lang w:val="fa-IR"/>
        </w:rPr>
        <w:t xml:space="preserve">تلمیذ:</w:t>
      </w:r>
      <w:r>
        <w:rPr>
          <w:rtl w:val="0"/>
          <w:lang w:val="fa-IR"/>
        </w:rPr>
        <w:t xml:space="preserve"> لازمۀ این مرتبه براى سید الشّهداء علیه‌السّلام هم همین است که خب زن و بچه را ببرد؟</w:t>
      </w:r>
    </w:p>
    <w:p>
      <w:pPr/>
      <w:r>
        <w:rPr>
          <w:rtl w:val="0"/>
          <w:lang w:val="fa-IR"/>
        </w:rPr>
        <w:t xml:space="preserve">استاد: همه‏اش! همه‏اش دیگر! وقتی کسى پایش مى‏ایستد؛ </w:t>
      </w:r>
      <w:r>
        <w:rPr>
          <w:rStyle w:val="RevayatArabi"/>
          <w:rtl w:val="0"/>
          <w:lang w:val="fa-IR"/>
        </w:rPr>
        <w:t xml:space="preserve">«إنَّ اللهَ‏ قَد شاءَ أن یراهُنَّ سَبایا.»</w:t>
      </w:r>
      <w:r>
        <w:rPr>
          <w:rStyle w:val="FootnoteReference"/>
        </w:rPr>
        <w:footnoteReference w:id="11"/>
      </w:r>
      <w:r>
        <w:rPr>
          <w:rtl w:val="0"/>
          <w:lang w:val="fa-IR"/>
        </w:rPr>
        <w:t xml:space="preserve"> </w:t>
      </w:r>
      <w:r>
        <w:rPr>
          <w:rStyle w:val="RevayatArabi"/>
          <w:rtl w:val="0"/>
          <w:lang w:val="fa-IR"/>
        </w:rPr>
        <w:t xml:space="preserve">«إنّ اللَه شاءَ»</w:t>
      </w:r>
      <w:r>
        <w:rPr>
          <w:rtl w:val="0"/>
          <w:lang w:val="fa-IR"/>
        </w:rPr>
        <w:t xml:space="preserve"> یعنی همین دیگر! خواست و تقدیر این است که سبایا باشند و این‌طور باشند و غل‌وزنجیر باشد و مجلس یزید آن‌طور باشد و مجلس ابن‌زیاد و یزید این‌طور باشد و همۀ اینها را موبه‌مو، یک‌به‌یک، لحظه‌به‌لحظه امام حسین قبل از شهادتش نمى‏دید؟! امام حسین که سهل است شاگردِ شاگردِ شاگردِ شاگردِ شاگردِ شاگردِ شاگردِ امام حسین علیه‌السّلام هم مى‏دید! بچه‌مکتبی‌ها هم مى‏دیدند! امام حسین داستان کوفه را نمى‏دید؟! همین‌طور چشم‌بسته گفت: خدایا </w:t>
      </w:r>
      <w:r>
        <w:rPr>
          <w:rStyle w:val="RevayatArabi"/>
          <w:rtl w:val="0"/>
          <w:lang w:val="fa-IR"/>
        </w:rPr>
        <w:t xml:space="preserve">«رضاً بقَضائک»</w:t>
      </w:r>
      <w:r>
        <w:rPr>
          <w:rStyle w:val="FootnoteReference"/>
        </w:rPr>
        <w:footnoteReference w:id="12"/>
      </w:r>
      <w:r>
        <w:rPr>
          <w:rStyle w:val="RevayatArabi"/>
          <w:rtl w:val="0"/>
          <w:lang w:val="fa-IR"/>
        </w:rPr>
        <w:t xml:space="preserve">؟!</w:t>
      </w:r>
      <w:r>
        <w:rPr>
          <w:rtl w:val="0"/>
          <w:lang w:val="fa-IR"/>
        </w:rPr>
        <w:t xml:space="preserve"> همه را مى‏دید؛ صحبت حضرت زینب را مى‏دید، حضرت ام‌کلثوم را مى‏دید، رفتن به مجلس ابن‌زیاد را مى‏دید، یزید را مى‏دید، همۀ اینها را مى‏دید و همه را با فهم، تعقّل، قبول، رضا و بهجت کامل، ابتهاج، افهام، انبساط‌خاطر یکى‌یکى مى‏پذیرفت، نه با اخم و فشار!</w:t>
      </w:r>
    </w:p>
    <w:p>
      <w:pPr>
        <w:pStyle w:val="Heading6"/>
      </w:pPr>
      <w:r>
        <w:rPr>
          <w:rtl w:val="0"/>
          <w:lang w:val="fa-IR"/>
        </w:rPr>
        <w:t xml:space="preserve">معنای </w:t>
      </w:r>
      <w:r>
        <w:rPr>
          <w:rStyle w:val="Arabi"/>
          <w:rtl w:val="0"/>
          <w:lang w:val="fa-IR"/>
        </w:rPr>
        <w:t xml:space="preserve">«ما رَأیتُ إلّا جَمیلًا»</w:t>
      </w:r>
      <w:r>
        <w:rPr>
          <w:rtl w:val="0"/>
          <w:lang w:val="fa-IR"/>
        </w:rPr>
        <w:t xml:space="preserve"> در کلام حضرت زینب سلام‌الله‌علیها</w:t>
      </w:r>
    </w:p>
    <w:p>
      <w:pPr/>
      <w:r>
        <w:rPr>
          <w:rtl w:val="0"/>
          <w:lang w:val="fa-IR"/>
        </w:rPr>
        <w:t xml:space="preserve">[اما] ما چه؟! حالا ما ممکن است یک قضیه را قبول کنیم ولى هزارتا فحش به خدا مى‏دهیم! چرا این‌طور، چرا آن‌طور و ...! قضیۀ امام حسین و حضرت زینب این است: </w:t>
      </w:r>
      <w:r>
        <w:rPr>
          <w:rStyle w:val="RevayatArabi"/>
          <w:rtl w:val="0"/>
          <w:lang w:val="fa-IR"/>
        </w:rPr>
        <w:t xml:space="preserve">«ما رَأیتُ إلّا جَمیلًا»</w:t>
      </w:r>
      <w:r>
        <w:rPr>
          <w:rtl w:val="0"/>
          <w:lang w:val="fa-IR"/>
        </w:rPr>
        <w:t xml:space="preserve">.</w:t>
      </w:r>
      <w:r>
        <w:rPr>
          <w:rStyle w:val="FootnoteReference"/>
        </w:rPr>
        <w:footnoteReference w:id="13"/>
      </w:r>
      <w:r>
        <w:rPr>
          <w:rtl w:val="0"/>
          <w:lang w:val="fa-IR"/>
        </w:rPr>
        <w:t xml:space="preserve"> این </w:t>
      </w:r>
      <w:r>
        <w:rPr>
          <w:rStyle w:val="RevayatArabi"/>
          <w:rtl w:val="0"/>
          <w:lang w:val="fa-IR"/>
        </w:rPr>
        <w:t xml:space="preserve">«إلّا جَمیلاً»</w:t>
      </w:r>
      <w:r>
        <w:rPr>
          <w:rtl/>
          <w:lang w:val="fa-IR"/>
        </w:rPr>
        <w:t xml:space="preserve"> یعنى اَخم در آن نیست. ناراحتى در آن نیست بلکه استقبال در آن هست و حتی دارد از این مسئله استقبال مى‏کند. ولى خب گریه هم سر جایش هست، تألّم هم سر جایش هست، همۀ مسائل سر جایش هست. شما در قضیۀ عاشورا هیچ در امام حسین تذبذب نمى‏بینید! شک نمى‏بینید! یک لحظه حتى خطور که هان! حالا این‌طور هم نمى‏شد چه مى‏شد، نمى‏بینید! شما مى‏بینید امام حسین علیه‌السلام یک خط سیر را در کارهایش، یک نحوه صحبت، یک نحوه تفکر، یک نحوه خط سیر را شروع مى‏کند از اول مى‌آید مى‏آید مى‏آید تا وقتى که حتى افتاده است و به شهادت مى‏رسد همان است. یک راه و یک تفکر و یک خط سیر است. یک رضا و تسلیم است. یک انبساط و ابتهاج است. هرچه به شهادت نزدیک‌تر مى‏شد مى‏گویند: «چهرۀ حضرت [روشن‌تر] می‌شد و فلان می‌شد».</w:t>
      </w:r>
      <w:r>
        <w:rPr>
          <w:rStyle w:val="FootnoteReference"/>
        </w:rPr>
        <w:footnoteReference w:id="14"/>
      </w:r>
      <w:r>
        <w:rPr>
          <w:rtl w:val="0"/>
          <w:lang w:val="fa-IR"/>
        </w:rPr>
        <w:t xml:space="preserve"> این قضیه براى امام حسین علیه‌السّلام به این کیفیت هست حالا راجع به بقیۀ ائمه به چه صورت بوده است؟ آیا بوده است یا نبوده است؟ ما نمى‏دانیم! اطلاع نداریم!</w:t>
      </w:r>
    </w:p>
    <w:p>
      <w:pPr>
        <w:pStyle w:val="Heading6"/>
      </w:pPr>
      <w:r>
        <w:rPr>
          <w:rtl w:val="0"/>
          <w:lang w:val="fa-IR"/>
        </w:rPr>
        <w:t xml:space="preserve">علت افضلیت یک امام از امام دیگر</w:t>
      </w:r>
    </w:p>
    <w:p>
      <w:pPr>
        <w:pStyle w:val="SoalMatn"/>
      </w:pPr>
      <w:r>
        <w:rPr>
          <w:rtl w:val="0"/>
          <w:lang w:val="fa-IR"/>
        </w:rPr>
        <w:t xml:space="preserve">تلمیذ:</w:t>
      </w:r>
      <w:r>
        <w:rPr>
          <w:rtl w:val="0"/>
          <w:lang w:val="fa-IR"/>
        </w:rPr>
        <w:t xml:space="preserve"> روایتى داریم که امام زمان علیه‌السّلام از همۀ ائمه افضل هستند الاّ امیرالمؤمنین، دلالت بر این مسئله نمى‏کند؟</w:t>
      </w:r>
    </w:p>
    <w:p>
      <w:pPr/>
      <w:r>
        <w:rPr>
          <w:rtl w:val="0"/>
          <w:lang w:val="fa-IR"/>
        </w:rPr>
        <w:t xml:space="preserve">استاد: نه، آن چیز دیگرى است و به این مربوط نیست.</w:t>
      </w:r>
    </w:p>
    <w:p>
      <w:pPr>
        <w:pStyle w:val="SoalMatn"/>
      </w:pPr>
      <w:r>
        <w:rPr>
          <w:rtl w:val="0"/>
          <w:lang w:val="fa-IR"/>
        </w:rPr>
        <w:t xml:space="preserve">تلمیذ:</w:t>
      </w:r>
      <w:r>
        <w:rPr>
          <w:rtl w:val="0"/>
          <w:lang w:val="fa-IR"/>
        </w:rPr>
        <w:t xml:space="preserve"> تجلیّات و...؟</w:t>
      </w:r>
    </w:p>
    <w:p>
      <w:pPr/>
      <w:r>
        <w:rPr>
          <w:rtl w:val="0"/>
          <w:lang w:val="fa-IR"/>
        </w:rPr>
        <w:t xml:space="preserve">استاد: نه! آن قضیه مربوط به سعۀ وجودى نسبت به آن کیفیت ارتباط حضرت است و مسائلى که باید تحقق پیدا کند. ظرفیت، تحمل، صبر، فلان و اینها، خلاصه خصوصیاتى که لازمۀ ادارۀ حضرت و تدبیر حضرت با آن حیثیت ارتباط حضرت است این‌طور که به ‌نظر مى‏رسد. من این‌طور تصور مى‏کنم حالا اگر چیز دیگر باشد بنده خبر ندارم.</w:t>
      </w:r>
    </w:p>
    <w:p>
      <w:pPr/>
      <w:r>
        <w:rPr>
          <w:rtl w:val="0"/>
          <w:lang w:val="fa-IR"/>
        </w:rPr>
        <w:t xml:space="preserve">این مسئلۀ ظهور یک قضیه‏اى است که یک هم‌چنین سعه‏اى را مى‏طلبد و یک هم‌چنین ظرفیتى را اقتضاء مى‏کند و شاید یک هم‌چنین‏ موقعیت، سعه، ظرفیت و خصوصیت به قضیۀ همان ادارۀ ارتباطات و مسائل برمى‏گردد. این در سایر ائمه شاید به این نحو و به این کیفیت نباشد. باید یک توان دیگرى هم از نظر ظاهرى و جسمى و هم از نظر آن سعۀ نفسانى و اینها بطلبد.</w:t>
      </w:r>
    </w:p>
    <w:p>
      <w:pPr>
        <w:pStyle w:val="SoalMatn"/>
      </w:pPr>
      <w:r>
        <w:rPr>
          <w:rtl w:val="0"/>
          <w:lang w:val="fa-IR"/>
        </w:rPr>
        <w:t xml:space="preserve">تلمیذ:</w:t>
      </w:r>
      <w:r>
        <w:rPr>
          <w:rtl w:val="0"/>
          <w:lang w:val="fa-IR"/>
        </w:rPr>
        <w:t xml:space="preserve"> یعنى ظهور آن‌قدر تأخیر دارد که نفس امام باید در شرایطى باشد که بتواند قضیۀ تدبیر عالم را اجرا کند؟</w:t>
      </w:r>
    </w:p>
    <w:p>
      <w:pPr/>
      <w:r>
        <w:rPr>
          <w:rtl/>
          <w:lang w:val="fa-IR"/>
        </w:rPr>
        <w:t xml:space="preserve">استاد: بله! باید شرایط [باشد].</w:t>
      </w:r>
    </w:p>
    <w:p>
      <w:pPr>
        <w:pStyle w:val="SoalMatn"/>
      </w:pPr>
      <w:r>
        <w:rPr>
          <w:rtl w:val="0"/>
          <w:lang w:val="fa-IR"/>
        </w:rPr>
        <w:t xml:space="preserve">تلمیذ:</w:t>
      </w:r>
      <w:r>
        <w:rPr>
          <w:rtl w:val="0"/>
          <w:lang w:val="fa-IR"/>
        </w:rPr>
        <w:t xml:space="preserve"> یعنى امام‏هاى دیگر ممکن است این توانایى را نداشته باشند؟</w:t>
      </w:r>
    </w:p>
    <w:p>
      <w:pPr/>
      <w:r>
        <w:rPr>
          <w:rtl w:val="0"/>
          <w:lang w:val="fa-IR"/>
        </w:rPr>
        <w:t xml:space="preserve">استاد: ببینید! ما نمى‏خواهیم بگوییم که توانایى ندارند، امام بالأخره امام است. امام بر همۀ مُلک و ملکوت مسلّط و حاکم است اما اینکه حالا خودِ امام در نفس خودش چه مى‏گذرد، ما این را نمى‏دانیم و [نمى‏دانیم] در خودش و در ذات خودش چه دارد مى‏گذرد! آنچه که ما مى‏بینیم یک آثارى مى‏بینیم؛ امام این کار را مى‏کند، این خبر را مى‏گوید، این مسئله را مطرح مى‏کند اما اینکه در خود امام و در نفس و ذات امام چه مسائلى هست ما این را خبر نداریم!</w:t>
      </w:r>
    </w:p>
    <w:p>
      <w:pPr>
        <w:pStyle w:val="SoalMatn"/>
      </w:pPr>
      <w:r>
        <w:rPr>
          <w:rtl w:val="0"/>
          <w:lang w:val="fa-IR"/>
        </w:rPr>
        <w:t xml:space="preserve">تلمیذ:</w:t>
      </w:r>
      <w:r>
        <w:rPr>
          <w:rtl w:val="0"/>
          <w:lang w:val="fa-IR"/>
        </w:rPr>
        <w:t xml:space="preserve"> اینکه اطلاق بقیةالله مى‏شود به‌خاطر همین جنبه است که دیگر مظاهر الهى از انبیاء و ائمه نداشتند؟</w:t>
      </w:r>
    </w:p>
    <w:p>
      <w:pPr/>
      <w:r>
        <w:rPr>
          <w:rtl w:val="0"/>
          <w:lang w:val="fa-IR"/>
        </w:rPr>
        <w:t xml:space="preserve">استاد: حالا نه‌اینکه نداشتند. انبیاء و اینها خب نه، آنها نداشتند!</w:t>
      </w:r>
    </w:p>
    <w:p>
      <w:pPr>
        <w:pStyle w:val="SoalMatn"/>
      </w:pPr>
      <w:r>
        <w:rPr>
          <w:rtl w:val="0"/>
          <w:lang w:val="fa-IR"/>
        </w:rPr>
        <w:t xml:space="preserve">تلمیذ:</w:t>
      </w:r>
      <w:r>
        <w:rPr>
          <w:rtl w:val="0"/>
          <w:lang w:val="fa-IR"/>
        </w:rPr>
        <w:t xml:space="preserve"> راجع به قضیۀ شعیب که مى‏گوید: </w:t>
      </w:r>
      <w:r>
        <w:rPr>
          <w:rtl w:val="0"/>
          <w:lang w:val="fa-IR"/>
        </w:rPr>
        <w:t xml:space="preserve">﴿بَقِيَّتُ ٱللَهِ خَيۡرٞ لَّكُمۡ إِن كُنتُم مُّؤۡمِنِينَ﴾</w:t>
      </w:r>
      <w:r>
        <w:rPr>
          <w:rStyle w:val="FootnoteReference"/>
        </w:rPr>
        <w:footnoteReference w:id="15"/>
      </w:r>
      <w:r>
        <w:rPr>
          <w:rtl w:val="0"/>
          <w:lang w:val="fa-IR"/>
        </w:rPr>
        <w:t xml:space="preserve"> منظور آن نیست؟</w:t>
      </w:r>
    </w:p>
    <w:p>
      <w:pPr/>
      <w:r>
        <w:rPr>
          <w:rtl w:val="0"/>
          <w:lang w:val="fa-IR"/>
        </w:rPr>
        <w:t xml:space="preserve">استاد: نه! نه‌خیر! قضیۀ ظهور یک چیزى نیست که فقط ظهور، ظهورِ یک چیز خاص خارجى باشد و تعیین حاکم و استاندار و فرماندار و رتق‌وفتق باشد. در قضیۀ ظهور اصلاً به‌طورکلی در تمام مُلک و ملکوت این ظهور پیدا مى‏شود حتى در ملکوت این قضیه هست! فقط یک رتق‌وفتق عادى نیست.</w:t>
      </w:r>
    </w:p>
    <w:p>
      <w:pPr>
        <w:pStyle w:val="SoalMatn"/>
      </w:pPr>
      <w:r>
        <w:rPr>
          <w:rtl w:val="0"/>
          <w:lang w:val="fa-IR"/>
        </w:rPr>
        <w:t xml:space="preserve">تلمیذ:</w:t>
      </w:r>
      <w:r>
        <w:rPr>
          <w:rtl w:val="0"/>
          <w:lang w:val="fa-IR"/>
        </w:rPr>
        <w:t xml:space="preserve"> مرحوم علامه ـ رضوان الله تعالی علیه ـ در معادشناسى، خیلى مختصر و گذرا این تعبیر را دارند. بحث رجعت را ظاهراً مطرح مى‏فرمایند. بحث رجعت که نسبت به آن مرتبۀ قیامت که اصل باید اتفاق بیفتد و اول او ظهور مى‏فرماید. بحث ظهور و در واقع تکویناً این انجام می‌شود.</w:t>
      </w:r>
    </w:p>
    <w:p>
      <w:pPr/>
      <w:r>
        <w:rPr>
          <w:rtl w:val="0"/>
          <w:lang w:val="fa-IR"/>
        </w:rPr>
        <w:t xml:space="preserve">استاد: باید انجام بشود.</w:t>
      </w:r>
    </w:p>
    <w:p>
      <w:pPr>
        <w:pStyle w:val="SoalMatn"/>
      </w:pPr>
      <w:r>
        <w:rPr>
          <w:rtl w:val="0"/>
          <w:lang w:val="fa-IR"/>
        </w:rPr>
        <w:t xml:space="preserve">تلمیذ:</w:t>
      </w:r>
      <w:r>
        <w:rPr>
          <w:rtl w:val="0"/>
          <w:lang w:val="fa-IR"/>
        </w:rPr>
        <w:t xml:space="preserve"> بعد بحث رجعت و بعد قیامت. در جلد چهارم هست. خیلى گذرا و در دوسه خط این را توضیح داده‏اند.</w:t>
      </w:r>
    </w:p>
    <w:p>
      <w:pPr>
        <w:pStyle w:val="SoalMatn"/>
      </w:pPr>
      <w:r>
        <w:rPr>
          <w:rtl w:val="0"/>
          <w:lang w:val="fa-IR"/>
        </w:rPr>
        <w:t xml:space="preserve">تلمیذ:</w:t>
      </w:r>
      <w:r>
        <w:rPr>
          <w:rtl w:val="0"/>
          <w:lang w:val="fa-IR"/>
        </w:rPr>
        <w:t xml:space="preserve"> آقا این روایت که یکى از رفقا نقل کردند دربارۀ اصحاب سیدالشّهداء، شما فرمودید که رنگ و روى حضرت مدام بازتر مى‌شد. ادامۀ روایت مى‏فرماید: بعضى از کسانى که با حضرت بودند ...</w:t>
      </w:r>
    </w:p>
    <w:p>
      <w:pPr/>
      <w:r>
        <w:rPr>
          <w:rtl w:val="0"/>
          <w:lang w:val="fa-IR"/>
        </w:rPr>
        <w:t xml:space="preserve">استاد: بله.</w:t>
      </w:r>
    </w:p>
    <w:p>
      <w:pPr>
        <w:pStyle w:val="SoalMatn"/>
      </w:pPr>
      <w:r>
        <w:rPr>
          <w:rtl w:val="0"/>
          <w:lang w:val="fa-IR"/>
        </w:rPr>
        <w:t xml:space="preserve">تلمیذ:</w:t>
      </w:r>
      <w:r>
        <w:rPr>
          <w:rtl w:val="0"/>
          <w:lang w:val="fa-IR"/>
        </w:rPr>
        <w:t xml:space="preserve"> یعنى همۀ اصحاب این‌طور نبودند؟</w:t>
      </w:r>
    </w:p>
    <w:p>
      <w:pPr/>
      <w:r>
        <w:rPr>
          <w:rtl w:val="0"/>
          <w:lang w:val="fa-IR"/>
        </w:rPr>
        <w:t xml:space="preserve">استاد: </w:t>
      </w:r>
      <w:r>
        <w:rPr>
          <w:rStyle w:val="RevayatArabi"/>
          <w:bCs/>
          <w:rtl/>
          <w:lang w:val="fa-IR"/>
        </w:rPr>
        <w:t xml:space="preserve">«و کان بعضُ مَن معه».</w:t>
      </w:r>
      <w:r>
        <w:rPr>
          <w:rStyle w:val="FootnoteReference"/>
        </w:rPr>
        <w:footnoteReference w:id="16"/>
      </w:r>
    </w:p>
    <w:p>
      <w:pPr>
        <w:pStyle w:val="SoalMatn"/>
      </w:pPr>
      <w:r>
        <w:rPr>
          <w:rtl w:val="0"/>
          <w:lang w:val="fa-IR"/>
        </w:rPr>
        <w:t xml:space="preserve">تلمیذ:</w:t>
      </w:r>
      <w:r>
        <w:rPr>
          <w:rtl w:val="0"/>
          <w:lang w:val="fa-IR"/>
        </w:rPr>
        <w:t xml:space="preserve"> یعنى همه اصحاب این‌طور نبودند؟! یعنى آنها اضطراب داشتند؟! چه بوده است؟</w:t>
      </w:r>
    </w:p>
    <w:p>
      <w:pPr/>
      <w:r>
        <w:rPr>
          <w:rtl w:val="0"/>
          <w:lang w:val="fa-IR"/>
        </w:rPr>
        <w:t xml:space="preserve">استاد: اضطراب هم نداشتند. نه، مثلاً مى‏گوییم که نگاه کن، ببین! یکى دارد به آن یکی می‌گوید. همه هم مى‏بینند منتها یکى قضیه را دارد برای یکى نقل مى‏کند. در مقام نقل یکی گفته است حالا بقیه هم دارند مى‏بینند. اضطراب نداشتند. چرا اضطراب داشته باشند؟! </w:t>
      </w:r>
      <w:r>
        <w:rPr>
          <w:rStyle w:val="RevayatArabi"/>
          <w:bCs/>
          <w:rtl/>
          <w:lang w:val="fa-IR"/>
        </w:rPr>
        <w:t xml:space="preserve">«اُنظروا إلی هذا الرجل لا یُبالى بالموت کُلَّما إشتدَّ الأمر تَغَیّرت ألوانُهم ...».</w:t>
      </w:r>
      <w:r>
        <w:rPr>
          <w:rStyle w:val="FootnoteReference"/>
        </w:rPr>
        <w:footnoteReference w:id="17"/>
      </w:r>
    </w:p>
    <w:p>
      <w:pPr>
        <w:pStyle w:val="SoalMatn"/>
      </w:pPr>
      <w:r>
        <w:rPr>
          <w:rtl w:val="0"/>
          <w:lang w:val="fa-IR"/>
        </w:rPr>
        <w:t xml:space="preserve">تلمیذ:</w:t>
      </w:r>
      <w:r>
        <w:rPr>
          <w:rtl w:val="0"/>
          <w:lang w:val="fa-IR"/>
        </w:rPr>
        <w:t xml:space="preserve"> این </w:t>
      </w:r>
      <w:r>
        <w:rPr>
          <w:rStyle w:val="RevayatArabi"/>
          <w:rtl w:val="0"/>
          <w:lang w:val="fa-IR"/>
        </w:rPr>
        <w:t xml:space="preserve">«مَن معه»</w:t>
      </w:r>
      <w:r>
        <w:rPr>
          <w:rtl w:val="0"/>
          <w:lang w:val="fa-IR"/>
        </w:rPr>
        <w:t xml:space="preserve"> به </w:t>
      </w:r>
      <w:r>
        <w:rPr>
          <w:rStyle w:val="Arabi"/>
          <w:rtl w:val="0"/>
          <w:lang w:val="fa-IR"/>
        </w:rPr>
        <w:t xml:space="preserve">قال</w:t>
      </w:r>
      <w:r>
        <w:rPr>
          <w:rtl w:val="0"/>
          <w:lang w:val="fa-IR"/>
        </w:rPr>
        <w:t xml:space="preserve"> نخورده است! </w:t>
      </w:r>
      <w:r>
        <w:rPr>
          <w:rStyle w:val="RevayatArabi"/>
          <w:rtl w:val="0"/>
          <w:lang w:val="fa-IR"/>
        </w:rPr>
        <w:t xml:space="preserve">«و بعضُ مَن معه»</w:t>
      </w:r>
      <w:r>
        <w:rPr>
          <w:rtl w:val="0"/>
          <w:lang w:val="fa-IR"/>
        </w:rPr>
        <w:t xml:space="preserve"> یعنى شما به </w:t>
      </w:r>
      <w:r>
        <w:rPr>
          <w:rStyle w:val="Arabi"/>
          <w:rtl w:val="0"/>
          <w:lang w:val="fa-IR"/>
        </w:rPr>
        <w:t xml:space="preserve">قال</w:t>
      </w:r>
      <w:r>
        <w:rPr>
          <w:rtl w:val="0"/>
          <w:lang w:val="fa-IR"/>
        </w:rPr>
        <w:t xml:space="preserve"> مى‌زنید؟!</w:t>
      </w:r>
    </w:p>
    <w:p>
      <w:pPr/>
      <w:r>
        <w:rPr>
          <w:rtl w:val="0"/>
          <w:lang w:val="fa-IR"/>
        </w:rPr>
        <w:t xml:space="preserve">استاد: بله، بله، بله! من تصورم این بود که به این قضیه هست!! عرض کنم در قضیۀ </w:t>
      </w:r>
      <w:r>
        <w:rPr>
          <w:rStyle w:val="RevayatArabi"/>
          <w:rtl w:val="0"/>
          <w:lang w:val="fa-IR"/>
        </w:rPr>
        <w:t xml:space="preserve">«بعض مَن معه»</w:t>
      </w:r>
      <w:r>
        <w:rPr>
          <w:rtl w:val="0"/>
          <w:lang w:val="fa-IR"/>
        </w:rPr>
        <w:t xml:space="preserve">، خب ممکن است آن اصحاب خاص حضرت باشند مانند برادرانشان یا فرزندانشان یا مثلاً اشخاصى که در روز [عاشورا] در کربلا بودند اینها مراتب مختلفى داشتند. همه در یک مرتبه نبودند.</w:t>
      </w:r>
    </w:p>
    <w:p>
      <w:pPr>
        <w:pStyle w:val="SoalMatn"/>
      </w:pPr>
      <w:r>
        <w:rPr>
          <w:rtl w:val="0"/>
          <w:lang w:val="fa-IR"/>
        </w:rPr>
        <w:t xml:space="preserve">تلمیذ:</w:t>
      </w:r>
      <w:r>
        <w:rPr>
          <w:rtl w:val="0"/>
          <w:lang w:val="fa-IR"/>
        </w:rPr>
        <w:t xml:space="preserve"> شوق به مرگ، پایین‏ترینِ درجات نیست؟ شوق به مرگ، شوق به شهادت ...</w:t>
      </w:r>
    </w:p>
    <w:p>
      <w:pPr/>
      <w:r>
        <w:rPr>
          <w:rtl w:val="0"/>
          <w:lang w:val="fa-IR"/>
        </w:rPr>
        <w:t xml:space="preserve">استاد: بله، شوق به مرگ خیلى مسئلۀ مهمى براى آنها نیست ولی براى ما مهم است! ولى براى آنها، خب جایى که خود سیدالشّهداء ...، البته بعد از اینکه آنها نفس خودشان را براى شهادت آماده کردند، نه قبل! قبل [از این] حضرت این کار را نکردند. لذا در شب عاشورا حضرت به افراد گفتند که بروید. اول از همین جهات ظاهرى و عادى جلو آمدند و گفتند: فردا هر کسی بماند خلاصه حیاتى در کار نیست. خب این خبرى است که آنها هم [مى‏دانستند] که حضرت راست مى‏گوید. امام راست مى‏گوید. هنوز از اینکه چیزى نشان بدهند و مقامات و درجه و فلان و اینها هیچ چیز نبوده است و اگر نشان بدهند که فایده ندارد. اگر بخواهند نشان بدهند آنهایى که رفته‏اند هم شاید نروند. آنها هم شاید نروند چون مى‏بینند یک هم‌چنین جایى دارند یعنى اگر حضرت بخواهند این‌طورى نشان بدهند یعنی ایجاد کنند برای شخصی که آقا اگر شما فردا بمانید به اینجا مى‏رسید، خب شاید اصلاً نرود ولى این عالمِ امتحان باید در جاى خودش باشد و بدون این‌گونه مسائل باید باشد؛ بدون این‏ کشف‏هاى نفسانى و لذائذ نفسانى، گرچه اُخروى. این عالمِ امتحان و اختبار و ایثار باید باشد.</w:t>
      </w:r>
    </w:p>
    <w:p>
      <w:pPr>
        <w:pStyle w:val="Heading6"/>
      </w:pPr>
      <w:r>
        <w:rPr>
          <w:rtl w:val="0"/>
          <w:lang w:val="fa-IR"/>
        </w:rPr>
        <w:t xml:space="preserve">علت تنها گذاشتن سیدالشهدا توسط افراد بعد از سخنان شب عاشورا</w:t>
      </w:r>
    </w:p>
    <w:p>
      <w:pPr/>
      <w:r>
        <w:rPr>
          <w:rtl w:val="0"/>
          <w:lang w:val="fa-IR"/>
        </w:rPr>
        <w:t xml:space="preserve">وقتی که آنها متوجه شدند مسئله این است خب گفتند: براى چه بمانیم؟! معلوم شد همۀ آنها در آمدنشان با سیدالشهداء اهل دنیا بودند و اهل عُقبىٰ نبودند. به‌خاطر مسائل و ریاسات و فلان و این چیزها بودند [که] به جایى برسند! چون اگر اهل عقبىٰ باشند خب بسم الله! سفره پهن شد چرا دارى مى‏روى؟! تو یک عمری براى الآن باید صبر مى‏کردى، چطور الآن گذاشتى رفتى؟! سر بزنگاه از وسط سفره بلند می‌شوی مى‏روى؟! معلوم مى‌شود اهل عقبىٰ نبودند و اهل دنیا بودند. وقتى که آنها رفتند حالا آنهایى که اهل عقبىٰ بودند دیگر مشخص شدند. هنوز هم هیچ چیزى ندیدند، مشاهده‏اى نکردند، فلان نکردند. حالا که مشخص شدند حضرت گفتند: خب حالا یک چیزى هم به شما مى‏دهیم! شیرینى‏اش را از همین امشب خلاصه به شما مى‏دهیم که ببینید اوضاع چیست! یک مقداری‌اش را الآن نشان مى‏دهیم و بقیه‏اش را هم برای بعد مى‏گذاریم والاّ همین الآن خودتان را تکه‌تکه مى‏کنید! تا فردا صبر کنید عجله نکنید!</w:t>
      </w:r>
    </w:p>
    <w:p>
      <w:pPr/>
      <w:r>
        <w:rPr>
          <w:rtl w:val="0"/>
          <w:lang w:val="fa-IR"/>
        </w:rPr>
        <w:t xml:space="preserve">لذا اصلاً اصحاب سیدالشّهداء خودشان را در لشگر مى‏انداختند که تکه‌تکه بشوند! نکند آنچه که دیدیم ازدست برود! چه دیدند آقای ...؟! می‌گویند: مسلم بن عوسجه شوخى مى‏کرد! سر حورى دعوایشان بود! دعوا مى‏کردند! مى‏گفت: من برای تو را برمى‏دارم! یک هم‌چنین چیزهایى بود؟! سربه‌سر هم مى‏گذاشتند!</w:t>
      </w:r>
      <w:r>
        <w:rPr>
          <w:rStyle w:val="FootnoteReference"/>
        </w:rPr>
        <w:footnoteReference w:id="18"/>
      </w:r>
    </w:p>
    <w:p>
      <w:pPr>
        <w:pStyle w:val="SoalMatn"/>
      </w:pPr>
      <w:r>
        <w:rPr>
          <w:rtl w:val="0"/>
          <w:lang w:val="fa-IR"/>
        </w:rPr>
        <w:t xml:space="preserve">تلمیذ:</w:t>
      </w:r>
      <w:r>
        <w:rPr>
          <w:rtl w:val="0"/>
          <w:lang w:val="fa-IR"/>
        </w:rPr>
        <w:t xml:space="preserve"> ...؟</w:t>
      </w:r>
    </w:p>
    <w:p>
      <w:pPr/>
      <w:r>
        <w:rPr>
          <w:rtl w:val="0"/>
          <w:lang w:val="fa-IR"/>
        </w:rPr>
        <w:t xml:space="preserve">استاد: اینها یک چیزهایى مى‏گویند! ما باید تحقیق کنیم ببینیم قضیه چه بوده است. آن‌وقت اینها وقتى که این مسائل را دیدند اشتیاق به آن مرتبه برایشان پیدا می‌شود و این‌گونه چیزها! اما خب بعضى از اینها هم بودند که نه، این دیدن‌ها را قبلاً دیده بودند! این مسائل را قبلاً طى کرده بودند مثل حبیب و عابس؛ اینها کسانى بودند که مراتب را قبلاً داشتند. هرکدام از اینها خصوصیات خودشان را داشتند. بله، من‌باب‌مثال یک کسى اشتیاق به آن مراتبى که مشاهده کرده است او را جلو مى‏برد. البته همۀ اینها در یک وحدت ولایى امام جمع بودند! خداى نکرده یک وقتى نباید تعبیرى کنیم که موجب وهن آنها بشود. نه! همۀ آنها مست همان شراب طهور سیدالشّهداء بودند ولی خود آنها هم در آن افق دید خودشان متفاوت بودند؛ آنچه را که حبیب بن مظاهر مى‏دید و براى رسیدن به آن مى‌خواست شهید شود قطعاً یک هم‌چنین چیزى را حُر نمى‏دید و اصلاً به فکر هفت پشتش هم نمى‏رسید! آنچه را که حضرت اباالفضل مشاهده مى‏کرد و مى‏خواست زود این لباس بدن را خلع کند و فلان بکند ...، چه‌ موقع این مسئله را افراد عادى دیگرى که در آنجا بودند مى‏توانستند ببینند؟!</w:t>
      </w:r>
    </w:p>
    <w:p>
      <w:pPr/>
      <w:r>
        <w:rPr>
          <w:rtl w:val="0"/>
          <w:lang w:val="fa-IR"/>
        </w:rPr>
        <w:t xml:space="preserve">یا حضرت علی‌اکبر! اصلاً حضرت علی اکبر را تالى‌تلو امام مى‏شمارند. تالى‌تلو امام بود! اگر امامت به امام سجاد علیه‌السّلام نمى‏رسید در تقدیر خدا به حضرت علی‌اکبر مى‏رسید. باهم اصلاً جلو مى‏رفتند، خب تقدیر خدا بر [امامت] حضرت سجاد بود! کجا یک هم‌چنین چیزى را افراد عادى [می‌فهمند]؟! ما همین‌طورى مى‏بینیم پسر امام حسین بود و سى و چند سال و فلان بود و خب شهید شد و دیگر بسیار خب! بله، مثل آن آقایى که مى‏گفت: اى حسین! اگر تو یک علی‌اکبر دادى ما هزاران علی‌اکبر دادیم! فقط باید به او گفت: برایتان خیلى متأسفیم! واقعاً متأسفیم! این را بایست گفت. اگر تو یک حبیب بن مظاهر دادى، ما هزاران حبیب بن مظاهر دادیم! چقدر سطح فکر پایین است! چقدر! حبیب بن مظاهر را اینها فقط در ریش سفید و موى سفید مى‏بینند، همین است دیگر! حالا اگر حبیب بن مظاهر آمد مویش را سیاه کرد ـ یک دواهایى هست که به کله و ریش و اینها مى‏مالند سیاه مى‏شود ـ و اگر دوتا جراحى پلاستیک هم روى صورتش انجام داد و موهایش را هم سیاه کرد و یک مقدار سروصورتش را هم اصلاح کرد و سى‌ساله شد، او هم مثل بقیۀ جوان‏ها می‌شود! یک چندتا جراحى پلاستیک هستند. نمی‌دانم تزریق ژل و فلان و این حرف‌ها! اخیراً شنیده‏ام بعضى‏ها مثل اینکه از این کارها کرده‏اند و خط و خطوط را برمى‏دارند و حالا تجدید فراشى مى‏خواهند بفرمایند! تجدید لحافى یا هرچه... نمى‏دانم! آخر در این سن به فکر جراحى پلاستیک افتادن چیست؟! آدم [را] می‌برد در اینکه این قضیه چیست؟! علیٰ‌کلّ‌حال آرزو بر نوجوانان عیب نیست! حالا این حبیب بن مظاهر که سرش سفید است را بیاید سیاه کند خب جوان مى‌شود و دیگر پیر نیست. حالا از پیرى درآمد و مثل بقیه شد؛ مثل جوانان دیگر شد و مثل همه شد. میزانِ فکر ما سفیدى مو است! سفیدى مو است! این میزان معرفت ما به معارف الهیه است. سفیدى مو و سیاهى مو، قبراقى و این چیزها... .</w:t>
      </w:r>
    </w:p>
    <w:p>
      <w:pPr>
        <w:pStyle w:val="Heading6"/>
      </w:pPr>
      <w:r>
        <w:rPr>
          <w:rtl w:val="0"/>
          <w:lang w:val="fa-IR"/>
        </w:rPr>
        <w:t xml:space="preserve">اتصال سرّ حبیب بن مظاهر با سیدالشّهداء</w:t>
      </w:r>
    </w:p>
    <w:p>
      <w:pPr/>
      <w:r>
        <w:rPr>
          <w:rtl w:val="0"/>
          <w:lang w:val="fa-IR"/>
        </w:rPr>
        <w:t xml:space="preserve">حبیب بن مظاهر با سیدالشّهداء اتصال سرّ داشت. قضیۀ اتصال سرّ را کسى نمى‏فهمد! سرّش متصل بود نه قلب و ضمیرش! نه فکرش! نه عقلش! نه نفسش! سرّش متصل بود. این تعبیر بنده نیست تعبیر بزرگان است. اتصال سرّ با امام حسین داشت. [حالا آن آقا می‌گوید:] اگر تو یک حبیب دادى ما هزاران حبیب داده‌ایم! هزاران حبیب! قضیه این بود.</w:t>
      </w:r>
    </w:p>
    <w:p>
      <w:pPr/>
      <w:r>
        <w:rPr>
          <w:rtl w:val="0"/>
          <w:lang w:val="fa-IR"/>
        </w:rPr>
        <w:t xml:space="preserve">همه یک‌طور نبودند. عابس در یک مرتبه‏اى بود. آنها در یک مرتبه‏اى بودند. هرکدام در افق خودشان مست بودند. آنها در حال‌وهوای خودشان حرکت مى‏کردند و امام حسین هم براساس پیمانه‏هاى آنها مى‌ریخت و جلو مى‏برد و بعد ...! خدا قسمت کند. خدا قسمت کند. جاى خوبى است! جاى خوبى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ق (50) آیه 17 و 18.</w:t>
      </w:r>
    </w:p>
    <w:p>
      <w:pPr>
        <w:pStyle w:val="FootnoteText"/>
      </w:pPr>
      <w:r>
        <w:rPr>
          <w:rtl w:val="0"/>
          <w:lang w:val="fa-IR"/>
        </w:rPr>
        <w:t xml:space="preserve">ترجمه: «[کافى است به یاد آرى این معنا را که] دو مامور ما در طرف راست و چپ او نشسته اعمال او را مى‏گیرند * هیچ سخنى در فضاى دهان نمى‏آورد مگر آنکه در همان‌جا مراقبى آماده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2:</w:t>
      </w:r>
    </w:p>
    <w:p>
      <w:pPr>
        <w:pStyle w:val="FootnoteText"/>
      </w:pPr>
      <w:r>
        <w:rPr>
          <w:rtl w:val="0"/>
          <w:lang w:val="fa-IR"/>
        </w:rPr>
        <w:t xml:space="preserve">«</w:t>
      </w:r>
      <w:r>
        <w:rPr>
          <w:rStyle w:val="Arabi"/>
          <w:rtl w:val="0"/>
          <w:lang w:val="fa-IR"/>
        </w:rPr>
        <w:t xml:space="preserve">إنّ أعرابیًّا قامَ یومَ الجمل... فقال أمیرالمؤمنین علیه‏السّلام: </w:t>
      </w:r>
      <w:r>
        <w:rPr>
          <w:rStyle w:val="RevayatArabi"/>
          <w:rtl w:val="0"/>
          <w:lang w:val="fa-IR"/>
        </w:rPr>
        <w:t xml:space="preserve">دعوه، فإنّ الّذى یریده الأعرابىّ هو الّذى نُریده من القوم</w:t>
      </w:r>
      <w:r>
        <w:rPr>
          <w:rtl w:val="0"/>
          <w:lang w:val="fa-IR"/>
        </w:rPr>
        <w:t xml:space="preserve">؛ در روز جنگ جمل عرب بادیه نشینى برخاست و به امیرالمؤمنین گفت: تو مى‏گویى خدا واحد است، مردم به او هجوم آوردند و گفتند الآن وقت سؤال پرسیدن است؟! نمى‏بینى خاطر امیرالمؤمنین مشغول است؟ امیرالمؤمنین علیه‏السّلام فرمودند: رهایش کنید، آنچه اعرابى مى‏خواهد همان است که ما از این گروه مى‏خواهیم...»؛</w:t>
      </w:r>
    </w:p>
    <w:p>
      <w:pPr>
        <w:pStyle w:val="FootnoteText"/>
      </w:pPr>
      <w:r>
        <w:rPr>
          <w:rtl w:val="0"/>
          <w:lang w:val="fa-IR"/>
        </w:rPr>
        <w:t xml:space="preserve">إرشاد القلوب</w:t>
      </w:r>
      <w:r>
        <w:rPr>
          <w:rtl w:val="0"/>
          <w:lang w:val="fa-IR"/>
        </w:rPr>
        <w:t xml:space="preserve">، ج 2، ص 217: «</w:t>
      </w:r>
      <w:r>
        <w:rPr>
          <w:rStyle w:val="Arabi"/>
          <w:rtl w:val="0"/>
          <w:lang w:val="fa-IR"/>
        </w:rPr>
        <w:t xml:space="preserve">کان علیه‏السّلام یومًا فى حرب صفین... فقال علیه‏السّلام: </w:t>
      </w:r>
      <w:r>
        <w:rPr>
          <w:rStyle w:val="RevayatArabi"/>
          <w:rtl w:val="0"/>
          <w:lang w:val="fa-IR"/>
        </w:rPr>
        <w:t xml:space="preserve">إنما نُقاتلهم على الصلاة</w:t>
      </w:r>
      <w:r>
        <w:rPr>
          <w:rStyle w:val="Arabi"/>
          <w:rtl w:val="0"/>
          <w:lang w:val="fa-IR"/>
        </w:rPr>
        <w:t xml:space="preserve">؛ </w:t>
      </w:r>
      <w:r>
        <w:rPr>
          <w:rtl/>
          <w:lang w:val="fa-IR"/>
        </w:rPr>
        <w:t xml:space="preserve">آن حضرت روزى در جنگ صفین مشغول جنگ بود و آتش نبرد زبانه مى‏کشید، در بین دو سپاه به خورشید نگاه مى‏کرد و منتظر وقت نماز ظهر بود، ابن‏عبّاس به حضرت عرض کرد: اى امیرالمؤمنین این چه کارى است؟ حضرت فرمودند: نگاه مى‏کنم که اگر زوال خورشید شده نماز بخوانیم. ابن‏عبّاس گفت: آیا الآن وقت نماز است درحالى‏که سخت مشغول جنگ هستیم؟! حضرت فرمودند: ما براى چه با اینها مى‏جنگیم؟! ما فقط براى نماز با اینها مى‏جنگیم». جهت اطّلاع بیشتر رجوع شود به </w:t>
      </w:r>
      <w:r>
        <w:rPr>
          <w:rtl w:val="0"/>
          <w:lang w:val="fa-IR"/>
        </w:rPr>
        <w:t xml:space="preserve">امام شناسى</w:t>
      </w:r>
      <w:r>
        <w:rPr>
          <w:rtl w:val="0"/>
          <w:lang w:val="fa-IR"/>
        </w:rPr>
        <w:t xml:space="preserve">، ج 12، ص 369.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الإیضاح</w:t>
      </w:r>
      <w:r>
        <w:rPr>
          <w:rtl w:val="0"/>
          <w:lang w:val="fa-IR"/>
        </w:rPr>
        <w:t xml:space="preserve">، فضل بن شاذان، ص 202؛ </w:t>
      </w:r>
      <w:r>
        <w:rPr>
          <w:rtl w:val="0"/>
          <w:lang w:val="fa-IR"/>
        </w:rPr>
        <w:t xml:space="preserve">بحار الأنوار</w:t>
      </w:r>
      <w:r>
        <w:rPr>
          <w:rtl w:val="0"/>
          <w:lang w:val="fa-IR"/>
        </w:rPr>
        <w:t xml:space="preserve">، ج 30، ص 357. جهت اطلاع بیشتر رجوع شود به </w:t>
      </w:r>
      <w:r>
        <w:rPr>
          <w:rtl w:val="0"/>
          <w:lang w:val="fa-IR"/>
        </w:rPr>
        <w:t xml:space="preserve">امام شناسى</w:t>
      </w:r>
      <w:r>
        <w:rPr>
          <w:rtl w:val="0"/>
          <w:lang w:val="fa-IR"/>
        </w:rPr>
        <w:t xml:space="preserve">، ج 3، ص 117.</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کشف الیقین</w:t>
      </w:r>
      <w:r>
        <w:rPr>
          <w:rtl w:val="0"/>
          <w:lang w:val="fa-IR"/>
        </w:rPr>
        <w:t xml:space="preserve">، ص 475.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50.</w:t>
      </w:r>
    </w:p>
  </w:footnote>
  <w:footnote w:id="6">
    <w:p>
      <w:pPr>
        <w:pStyle w:val="FootnoteText"/>
      </w:pPr>
      <w:r>
        <w:rPr>
          <w:rStyle w:val="FootnoteReference"/>
        </w:rPr>
        <w:footnoteRef/>
      </w:r>
      <w:r>
        <w:t xml:space="preserve"> </w:t>
      </w:r>
      <w:r>
        <w:rPr>
          <w:rtl w:val="0"/>
          <w:lang w:val="fa-IR"/>
        </w:rPr>
        <w:t xml:space="preserve">. سوره فصلت (41) آیه 53. </w:t>
      </w:r>
      <w:r>
        <w:rPr>
          <w:rtl w:val="0"/>
          <w:lang w:val="fa-IR"/>
        </w:rPr>
        <w:t xml:space="preserve">الله شناسى</w:t>
      </w:r>
      <w:r>
        <w:rPr>
          <w:rtl w:val="0"/>
          <w:lang w:val="fa-IR"/>
        </w:rPr>
        <w:t xml:space="preserve">، ج ‏1، ص 79:</w:t>
      </w:r>
    </w:p>
    <w:p>
      <w:pPr>
        <w:pStyle w:val="FootnoteText"/>
      </w:pPr>
      <w:r>
        <w:rPr>
          <w:rtl w:val="0"/>
          <w:lang w:val="fa-IR"/>
        </w:rPr>
        <w:t xml:space="preserve">«به زودى ما آیات خودمان را به ایشان در موجودات نواحى جهان و در وجود خودشان نشان خواهیم داد تا براى آنان روشن شود که: نشان داده شده (آیه‏اى که نشان ماست) حقّ است. آیا براى پروردگارت این کفایت نمى‏کند که او بر هر چیز شاهد و حاضر و ناظر مى‏باشد؟!»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نامه 28، ص 385:</w:t>
      </w:r>
    </w:p>
    <w:p>
      <w:pPr>
        <w:pStyle w:val="FootnoteText"/>
      </w:pPr>
      <w:r>
        <w:rPr>
          <w:rStyle w:val="RevayatArabi"/>
          <w:rtl w:val="0"/>
          <w:lang w:val="fa-IR"/>
        </w:rPr>
        <w:t xml:space="preserve">«فإنّا صَنائِعُ رَبِّنا و النّاسُ بَعدُ صَنائِعُ لَنا.» </w:t>
      </w:r>
      <w:r>
        <w:rPr>
          <w:rtl w:val="0"/>
          <w:lang w:val="fa-IR"/>
        </w:rPr>
        <w:t xml:space="preserve">امام شناسی</w:t>
      </w:r>
      <w:r>
        <w:rPr>
          <w:rtl w:val="0"/>
          <w:lang w:val="fa-IR"/>
        </w:rPr>
        <w:t xml:space="preserve">، ج 5، ص 130:</w:t>
      </w:r>
    </w:p>
    <w:p>
      <w:pPr>
        <w:pStyle w:val="FootnoteText"/>
      </w:pPr>
      <w:r>
        <w:rPr>
          <w:rStyle w:val="RevayatArabi"/>
          <w:rtl w:val="0"/>
          <w:lang w:val="fa-IR"/>
        </w:rPr>
        <w:t xml:space="preserve">«</w:t>
      </w:r>
      <w:r>
        <w:rPr>
          <w:rtl w:val="0"/>
          <w:lang w:val="fa-IR"/>
        </w:rPr>
        <w:t xml:space="preserve">ما دست پروردگان پروردگارمان هستیم و مردم پس از این دست پروردگان ما هستند.»</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‏2، </w:t>
      </w:r>
      <w:r>
        <w:rPr>
          <w:rStyle w:val="Arabi"/>
          <w:rtl w:val="0"/>
          <w:lang w:val="fa-IR"/>
        </w:rPr>
        <w:t xml:space="preserve">کتاب الحجة، ابواب التاریخ، بابُ مَولِدِ النَّبیِّ صلّى اللَهُ علیه و آله و سلّم و وفاتِه</w:t>
      </w:r>
      <w:r>
        <w:rPr>
          <w:rtl w:val="0"/>
          <w:lang w:val="fa-IR"/>
        </w:rPr>
        <w:t xml:space="preserve">،‏ ص 443.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152. </w:t>
      </w:r>
      <w:r>
        <w:rPr>
          <w:rtl w:val="0"/>
          <w:lang w:val="fa-IR"/>
        </w:rPr>
        <w:t xml:space="preserve">امام شناسى</w:t>
      </w:r>
      <w:r>
        <w:rPr>
          <w:rtl w:val="0"/>
          <w:lang w:val="fa-IR"/>
        </w:rPr>
        <w:t xml:space="preserve">، ج ‏15، ص 333:</w:t>
      </w:r>
    </w:p>
    <w:p>
      <w:pPr>
        <w:pStyle w:val="FootnoteText"/>
      </w:pPr>
      <w:r>
        <w:rPr>
          <w:rtl w:val="0"/>
          <w:lang w:val="fa-IR"/>
        </w:rPr>
        <w:t xml:space="preserve">«حقّاً در بهشت براى تو منزلت و درجتى است که بدون شهادت بدان دست نخواهى یافت.»‏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إعلام الورى</w:t>
      </w:r>
      <w:r>
        <w:rPr>
          <w:rtl w:val="0"/>
          <w:lang w:val="fa-IR"/>
        </w:rPr>
        <w:t xml:space="preserve">، ص 83؛ </w:t>
      </w:r>
      <w:r>
        <w:rPr>
          <w:rtl w:val="0"/>
          <w:lang w:val="fa-IR"/>
        </w:rPr>
        <w:t xml:space="preserve">عیون الأثر</w:t>
      </w:r>
      <w:r>
        <w:rPr>
          <w:rtl w:val="0"/>
          <w:lang w:val="fa-IR"/>
        </w:rPr>
        <w:t xml:space="preserve">، ج 2، ص 398؛ </w:t>
      </w:r>
      <w:r>
        <w:rPr>
          <w:rtl w:val="0"/>
          <w:lang w:val="fa-IR"/>
        </w:rPr>
        <w:t xml:space="preserve">سفینة البحار</w:t>
      </w:r>
      <w:r>
        <w:rPr>
          <w:rtl w:val="0"/>
          <w:lang w:val="fa-IR"/>
        </w:rPr>
        <w:t xml:space="preserve">، ج 2، ص 681.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65.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مقتل مقرّم</w:t>
      </w:r>
      <w:r>
        <w:rPr>
          <w:rtl w:val="0"/>
          <w:lang w:val="fa-IR"/>
        </w:rPr>
        <w:t xml:space="preserve">، ص 423.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160.</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مقتل مقرّم</w:t>
      </w:r>
      <w:r>
        <w:rPr>
          <w:rtl w:val="0"/>
          <w:lang w:val="fa-IR"/>
        </w:rPr>
        <w:t xml:space="preserve">، ص 329.</w:t>
      </w:r>
    </w:p>
  </w:footnote>
  <w:footnote w:id="15">
    <w:p>
      <w:pPr>
        <w:pStyle w:val="FootnoteText"/>
      </w:pPr>
      <w:r>
        <w:rPr>
          <w:rStyle w:val="FootnoteReference"/>
        </w:rPr>
        <w:footnoteRef/>
      </w:r>
      <w:r>
        <w:t xml:space="preserve"> </w:t>
      </w:r>
      <w:r>
        <w:rPr>
          <w:rtl w:val="0"/>
          <w:lang w:val="fa-IR"/>
        </w:rPr>
        <w:t xml:space="preserve">. سوره هود (11) آیه 86. </w:t>
      </w:r>
      <w:r>
        <w:rPr>
          <w:rtl w:val="0"/>
          <w:lang w:val="fa-IR"/>
        </w:rPr>
        <w:t xml:space="preserve">آموزه‌های ولایت</w:t>
      </w:r>
      <w:r>
        <w:rPr>
          <w:rtl w:val="0"/>
          <w:lang w:val="fa-IR"/>
        </w:rPr>
        <w:t xml:space="preserve">، ج ۲، ص 19:</w:t>
      </w:r>
    </w:p>
    <w:p>
      <w:pPr>
        <w:pStyle w:val="FootnoteText"/>
      </w:pPr>
      <w:r>
        <w:rPr>
          <w:rtl w:val="0"/>
          <w:lang w:val="fa-IR"/>
        </w:rPr>
        <w:t xml:space="preserve">ترجمه: «بَقیّةُ الله* (وجود باقیۀ خداوند متعال) برای شما بهتر است اگر مؤمن بوده باشید!»</w:t>
      </w:r>
    </w:p>
    <w:p>
      <w:pPr>
        <w:pStyle w:val="FootnoteText"/>
      </w:pPr>
      <w:r>
        <w:rPr>
          <w:rtl w:val="0"/>
          <w:lang w:val="fa-IR"/>
        </w:rPr>
        <w:t xml:space="preserve">*. </w:t>
      </w:r>
      <w:r>
        <w:rPr>
          <w:rtl w:val="0"/>
          <w:lang w:val="fa-IR"/>
        </w:rPr>
        <w:t xml:space="preserve">امام شناسی</w:t>
      </w:r>
      <w:r>
        <w:rPr>
          <w:rtl w:val="0"/>
          <w:lang w:val="fa-IR"/>
        </w:rPr>
        <w:t xml:space="preserve">، ج 3، ص 20، تعلیقه: «بقیّةالله‌ و بقیۀ خدا یعنی‌ آن کسی که تمام أسماء و صفات الَهیّه‌ای که تا به حال ظهور خارجی پیدا ننموده‌اند در او ظهور پیدا بنماید و باقی مانده و تمام‌کنندۀ ظهورات أنبیاء و امامان باشد و ارادۀ حَتمیّۀ پروردگار به بَقاء او تعلّق گرفته باشد.»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ناسخ التواریخ</w:t>
      </w:r>
      <w:r>
        <w:rPr>
          <w:rtl w:val="0"/>
          <w:lang w:val="fa-IR"/>
        </w:rPr>
        <w:t xml:space="preserve">، ج 4، ص 294، با اندکی اختلاف.</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نفس المهموم</w:t>
      </w:r>
      <w:r>
        <w:rPr>
          <w:rtl w:val="0"/>
          <w:lang w:val="fa-IR"/>
        </w:rPr>
        <w:t xml:space="preserve">، ص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