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هفتم</w:t>
      </w:r>
    </w:p>
    <w:p>
      <w:pPr>
        <w:pStyle w:val="Heading5"/>
      </w:pPr>
      <w:r>
        <w:rPr>
          <w:rtl w:val="0"/>
          <w:lang w:val="fa-IR"/>
        </w:rPr>
        <w:t xml:space="preserve">ماحصل مطالب مرحوم سید [میرداماد] دربارۀ کیفیت قضاء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ادامۀ مطالب مرحوم سید باید عرض کنیم که کلمات ایشان نسبت به کیفیت قضاء و قدر و تمثیل و تشبیه به مُثل افلاطونیه خالى از دقت نیست و قابل تأمل است منتها با یک فرقى که در کیفیت تنظیر به مثل افلاطونى در مسئلۀ قضاء و قدر و همین‌طور تشبیه مثل افلاطونیه به حقیقت قضاء مکتوم و قضاء مقدر، وجود دارد که عرض می‌کنیم.</w:t>
      </w:r>
    </w:p>
    <w:p>
      <w:pPr/>
      <w:r>
        <w:rPr>
          <w:rtl w:val="0"/>
          <w:lang w:val="fa-IR"/>
        </w:rPr>
        <w:t xml:space="preserve">مرحوم سید در کیفیت قضاء و نزول این حقیقت ارادیه و تعیّن خارجى که از آن تعبیر به علم عنائى و صور کلیه مى‌شود،</w:t>
      </w:r>
      <w:r>
        <w:rPr>
          <w:rStyle w:val="FootnoteReference"/>
        </w:rPr>
        <w:footnoteReference w:id="1"/>
      </w:r>
      <w:r>
        <w:rPr>
          <w:rtl w:val="0"/>
          <w:lang w:val="fa-IR"/>
        </w:rPr>
        <w:t xml:space="preserve"> دو مرتبه براى این مسئله قائل هستند؛ مرتبۀ اول همان حقیقت کلیۀ خود شیء هست که آن حقیقت کلیه، غیر محدّد و غیر مقید است. در هر چیزى که در عالم خارج اتفاق مى‏افتد، چه از صُور مجرده یا از صور غیر مجرده در این مسئله تفاوتى ندارد. هر چیزى یک حقیقت و صورت کلیه دارد که آن صورت کلیه مى‏تواند مقید و محدّد بشود. به‌نظرم مى‏رسد که براى تشبیه این مسئله این مثال را به این کیفیت ذکر کنم، البته مسئله از این دقیق‌تر است و یک مقدارى هم نیاز به استفاده و استنارۀ از ذوق اشراق و شهود دارد و به همین راحتى نمى‏شود این مسئله را به این کیفیت ترسیم کرد. اگر بخواهیم مثال بزنیم [این‌طور است که] شما وقتى در یک بیابانى حرکت مى‏کنید فضاى جلوى شما خیلى فضاى وسیعى است و چشم انسان یاراى این را ندارد که بخواهد از فاصلۀ خیلى دور یک ماهیتى را به آن حقیقتش ادراک کند چرا که ما محدودیت در دید داریم.</w:t>
      </w:r>
    </w:p>
    <w:p>
      <w:pPr/>
      <w:r>
        <w:rPr>
          <w:rtl w:val="0"/>
          <w:lang w:val="fa-IR"/>
        </w:rPr>
        <w:t xml:space="preserve">[فرض کنید که] از دور یک جنبنده‏اى را مى‏بینیم، این جنبنده یک صورت مبهمه است که قابل انطباق بر حیوان و انسان است و براى شما مشخص نیست که این چه چیزى است. مخصوصاً که اگر هوا یک هواى غبارآلود یا یک مقدارى تاریک باشد، انسان مى‏تواند این را خوب حس کند و برایش خیلى اتفاق افتاده است. این صورتى را که الآن از دور مى‏بینید، حکم به حیوانیت او مى‏کنید حالا این حیوانیت یا در قالب انسان است یا در قالب حیوانات و وحوش بیابان و امثال‌ذلک است. هنوز براى شما مشخص نشده است که این حیوان کیست و چیست و خصوصیاتش چیست و درمقابل او باید چه بکنید! ولى همین‌قدر خود را آماده مى‏کنید تا با یک وقایع اتفاقیه و غیر مترقبه روبه‌رو شوید و براى این مسئله بتوانید آمادگى داشته باشید. وقتى که آن جنبنده نزدیک مى‏آید، یک‌مرتبه چشمتان باز مى‏شود و مى‏بینید که این یک مقدارى از سطح حیوانى که چهاردست‌وپا راه مى‏رود ارتفاعش بالاتر است و دیگر ذهن شما از این حیواناتى که در این سطح هستند بیرون مى‏آید و باز در یک مرتبۀ کلیتى باقى مى‏ماند. هنوز برای شما مشخص نیست که این چیست! وقتى جلو آمد، مى‏بینید که دارد روى دوپا حرکت مى‏کند پس برای شما قطع حاصل مى‏شود که این حیوان نمى‏تواند یک جانور وحشى بیابانى مثل سگ، گربه، گوسفند و حیوانات دیگر باشد بلکه این باید انسان باشد. باز درعین‌حال این صورت براى شما مشکوک است که آیا این زن است یا مرد است؟! در مؤنث و مذکر بودن و تذکیر و اینها شبهه دارید. نزدیک‌تر که مى‏شود برای شما مشخص مى‏شود که یک انسان و آدم است و فرض کنید یک زارعى است که از یک جا به جایى دیگر مى‏رود.</w:t>
      </w:r>
    </w:p>
    <w:p>
      <w:pPr/>
      <w:r>
        <w:rPr>
          <w:rtl w:val="0"/>
          <w:lang w:val="fa-IR"/>
        </w:rPr>
        <w:t xml:space="preserve">این آدم تا آن مرتبۀ آخر که بخواهد برسد، مسئله به‌صورت کلىّ خودش و قابل انطباق بر کثیرین ـ چه کثیرین در نوع و چه کثیرین در صنف ـ براى شما باقى مى‏ماند. وقتى که کاملاً چشمتان واضح و روشن شد، دیگر در آنجا جزئیت و تشخص، طارد براى مثل و امثال است و خود خصوصیت فردیه در اینجا جلوه مى‏کند. البته از این نقطه‌نظر بنده تشبیه را بیان کردم که در اینجا آن حقیقت شیء حقیقت واحد است و این ترسیم کلیت و جزئیت در نظر رائى است ولى خارجیت و واقعیتش یکى است. شما چه ببینید و چه نبینید، واقع که فرق نمى‏کند! بالأخره این جنبنده را که از دور دیدید از اول انسان بوده است و شما جاهل بوده‌اید نه‌اینکه از اول این واقعیت خارجیه قابل انطباق بر غیر از انسان هم بود. نه! این واقعیت متشخّص، جزئى، زارع و کشاورز بود اما شما نمى‏دیدید و این حکم به کلیت و ابهام کردن و قابلیت حمل کردن بر انواع مختلفه در دید شما بود که جاهل بودید ولى وقتى که عالم شدید دیگر این مسئله براى شما مشخص شد ولى واقع فرقى نکرد! واقع، واقع است.</w:t>
      </w:r>
    </w:p>
    <w:p>
      <w:pPr/>
      <w:r>
        <w:rPr>
          <w:rtl/>
          <w:lang w:val="fa-IR"/>
        </w:rPr>
        <w:t xml:space="preserve">وقتى که شما با آن واقع منطبق شدید و معرفت شما نسبت به واقع یکى شد آنگاه این واقعیت خارجى، تشخّص خودش را براى شما نشان داد والاّ در واقع آن واقعیت خارجى تشخّص داشت؛ از اول‏ تشخّص داشت و شما نمى‏دانستید. اما در مانحن‌فیه مسئله فرق می‌کند، آن واقعیت کلى به اعتقاد و بیان مرحوم سید و همین‌طور بسیارى از بزرگان که در این زمینه راجع به این قضیه صحبت کرده‏اند، [فرق مى‏کند]. من در این زمینه قبلاً مطالبى عرض کرده‏ام منتها این مطالب ما جسته‌گریخته و پراکنده و در بین مباحثات مختلف هست. راجع به این مطلب و کیفیت علم عنائى و انطباقش با تشخّص خارجى بر خلاف انظار و آرائى که در این زمینه هست، بنده مطالبى را خدمت رفقا عرض کرده‏ام و لذا گمان مى‏کنم رفقا در این زمینه سبق ذهنى و آشنایى با این مطالب داشته باشند.</w:t>
      </w:r>
    </w:p>
    <w:p>
      <w:pPr>
        <w:pStyle w:val="Heading6"/>
      </w:pPr>
      <w:r>
        <w:rPr>
          <w:rtl w:val="0"/>
          <w:lang w:val="fa-IR"/>
        </w:rPr>
        <w:t xml:space="preserve">تعریف قضاء کلى</w:t>
      </w:r>
    </w:p>
    <w:p>
      <w:pPr/>
      <w:r>
        <w:rPr>
          <w:rtl w:val="0"/>
          <w:lang w:val="fa-IR"/>
        </w:rPr>
        <w:t xml:space="preserve">در مسئلۀ قضاء کلى نسبت به این قضیه، آن قضاء کلى عبارت از یک اراده و حقیقت و صورتى است که آن صورت به یک نحوى قابلیت براى تشکّل پیدا کردن به اَشکال مختلفه و تصور پیدا کردن به صور مختلفه و همین‌طور تعیّن پیدا کردن به اعیان مختلفه را داراست، این را قضاء کلى مى‏گویند. موت را نسبت به اهل این شهر فرض کنید، این موت و دماری که نسبت به اهل این شهر مى‏آید، این مسئله یک مسئلۀ کلى است، حالا قابل انطباق بر همۀ افراد یا بر بعضى از افراد است. در کیفیت موت شما مشاهده مى‏کنید که یک وقتى این موت با صاعقه و رعد و برق انجام مى‏شود و گاهى اوقات این موت با زلزله و خسف است و گاهى اوقات این موت با عواصف و بادهاى خیلى شدید است، این می‌تواند صور مختلفى پیدا کند. یا این موت در شرایط امروزى با بمب است؛ مى‏آیند از بالا بمب مى‏اندازند و همۀ افراد یک شهر را به نابودى مى‏کشانند.</w:t>
      </w:r>
    </w:p>
    <w:p>
      <w:pPr/>
      <w:r>
        <w:rPr>
          <w:rtl w:val="0"/>
          <w:lang w:val="fa-IR"/>
        </w:rPr>
        <w:t xml:space="preserve">در کیفیت تحقق این قضاء کلى اختلاف مى‏بینید و انواع متفاوتى مى‏بینید. یااینکه [موت] به‌واسطۀ قحطى است و مردم از گرسنگى مى‏میرند. هرکدام از اینها داراى یک تشخّص خارجى است. بعد این حکم قضاء کلى که در عالم قَدَر مى‏آید، داراى ماهیت و صورت مى‏شود که این‏ حکم به موت به چه کیفیتى باید واقع بشود؟ فرض کنید در آنجا کیفیت موت تقدیر مى‏شود که این موت باید با پرتاب یک موشک، افتادن یک بمب، بمباران هوایى و یا قحطى حاصل بشود، این مسئله در آنجا تقدیر مى‏خورد.</w:t>
      </w:r>
    </w:p>
    <w:p>
      <w:pPr>
        <w:pStyle w:val="Heading6"/>
      </w:pPr>
      <w:r>
        <w:rPr>
          <w:rtl w:val="0"/>
          <w:lang w:val="fa-IR"/>
        </w:rPr>
        <w:t xml:space="preserve">تفاوت معیارهاى ابناء دنیا با سالکان راه خدا</w:t>
      </w:r>
    </w:p>
    <w:p>
      <w:pPr/>
      <w:r>
        <w:rPr>
          <w:rtl w:val="0"/>
          <w:lang w:val="fa-IR"/>
        </w:rPr>
        <w:t xml:space="preserve">پس ما در اینجا دو مطلب داریم؛ یکى عالم قضاء کلى است، «</w:t>
      </w:r>
      <w:r>
        <w:rPr>
          <w:rStyle w:val="RevayatArabi"/>
          <w:rtl w:val="0"/>
          <w:lang w:val="fa-IR"/>
        </w:rPr>
        <w:t xml:space="preserve">خطّ الموتَ علة وُلد آدم مُخَطَّ القلادة علة جید الفتا</w:t>
      </w:r>
      <w:r>
        <w:rPr>
          <w:rtl w:val="0"/>
          <w:lang w:val="fa-IR"/>
        </w:rPr>
        <w:t xml:space="preserve">»</w:t>
      </w:r>
      <w:r>
        <w:rPr>
          <w:rStyle w:val="FootnoteReference"/>
        </w:rPr>
        <w:footnoteReference w:id="2"/>
      </w:r>
      <w:r>
        <w:rPr>
          <w:rtl w:val="0"/>
          <w:lang w:val="fa-IR"/>
        </w:rPr>
        <w:t xml:space="preserve"> که این قضاء کلى مى‏شود.</w:t>
      </w:r>
    </w:p>
    <w:p>
      <w:pPr>
        <w:pStyle w:val="Heading6"/>
      </w:pPr>
      <w:r>
        <w:rPr>
          <w:rtl w:val="0"/>
          <w:lang w:val="fa-IR"/>
        </w:rPr>
        <w:t xml:space="preserve">نتیجه فدا کردن دین برای دنیای دیگران!</w:t>
      </w:r>
    </w:p>
    <w:p>
      <w:pPr>
        <w:pStyle w:val="Heading6"/>
      </w:pPr>
      <w:r>
        <w:rPr>
          <w:rtl w:val="0"/>
          <w:lang w:val="fa-IR"/>
        </w:rPr>
        <w:t xml:space="preserve">خصوصیت ابناء دنیا</w:t>
      </w:r>
    </w:p>
    <w:p>
      <w:pPr/>
      <w:r>
        <w:rPr>
          <w:rtl w:val="0"/>
          <w:lang w:val="fa-IR"/>
        </w:rPr>
        <w:t xml:space="preserve">دوم اینکه در کیفیت این قضاء کلى اختیار را به آدم مى‏دهند؛ مى‏توانی در اینجا بمیرى، مى‏توانى با جهاد </w:t>
      </w:r>
      <w:r>
        <w:rPr>
          <w:rStyle w:val="Arabi"/>
          <w:rtl w:val="0"/>
          <w:lang w:val="fa-IR"/>
        </w:rPr>
        <w:t xml:space="preserve">فى سبیل الله</w:t>
      </w:r>
      <w:r>
        <w:rPr>
          <w:rtl w:val="0"/>
          <w:lang w:val="fa-IR"/>
        </w:rPr>
        <w:t xml:space="preserve"> شهید بشوى، مى‏توانى در رکاب امام معصوم علیه‌السّلام به شهادت برسى که دیگر به فوز ابدى و فلاح سرمدى رسیده‏اى و رستگار مى‏شوى و مى‏توانى خودت را فداى ابناء دنیا کنى که </w:t>
      </w:r>
      <w:r>
        <w:rPr>
          <w:rtl w:val="0"/>
          <w:lang w:val="fa-IR"/>
        </w:rPr>
        <w:t xml:space="preserve">﴿خَسِرَ ٱلدُّنۡيَا وَٱلۡأٓخِرَةَ ذَٰلِكَ هُوَ ٱلۡخُسۡرَانُ ٱلۡمُبِينُ﴾</w:t>
      </w:r>
      <w:r>
        <w:rPr>
          <w:rStyle w:val="FootnoteReference"/>
        </w:rPr>
        <w:footnoteReference w:id="3"/>
      </w:r>
      <w:r>
        <w:rPr>
          <w:rtl w:val="0"/>
          <w:lang w:val="fa-IR"/>
        </w:rPr>
        <w:t xml:space="preserve"> شامل حالت شود و بدبخت دنیا و آخرت بشوى و دین خودت را فداى دنیاى دیگران کنى! اختیار با خود توست.</w:t>
      </w:r>
    </w:p>
    <w:p>
      <w:pPr>
        <w:pStyle w:val="Heading6"/>
      </w:pPr>
      <w:r>
        <w:rPr>
          <w:rtl w:val="0"/>
          <w:lang w:val="fa-IR"/>
        </w:rPr>
        <w:t xml:space="preserve">بدبخت واقعی!</w:t>
      </w:r>
    </w:p>
    <w:p>
      <w:pPr/>
      <w:r>
        <w:rPr>
          <w:rtl w:val="0"/>
          <w:lang w:val="fa-IR"/>
        </w:rPr>
        <w:t xml:space="preserve">اى بدبخت! بدبخت آن کسى است که دین خودش را فداى دنیاى مردم بکند! مردم که دین ندارند، دنیا دارند! آن‌وقت شخصى دین خودش را فداى دنیاى دیگران بکند، این دیگر هم دنیایش را ازدست داده ـ چون آبرویش رفته است ـ [و هم آخرتش را]! این مردم هم که وفا ندارند! وفا ندارند؛ عهد و پیمان سرشان نمى‏شود، التزام سرشان نمى‏شود! تا وقتى که انسان برایشان کار کند، آدم را به خدمت مى‏گیرند و وقتى که دیدند دیگر ارتباط برایشان ضرر دارد و به منافع دنیایشان ضرر مى‏رساند مثل یک دستمال و تفاله در زباله مى‏اندازند و دیگر یادى از انسان هم نمى‏کنند! اینها ابناء دنیا هستند. معیارهاى اینها با معیارهاى آن کسانى که راه خدا را مى‏روند متفاوت است؛ سالکان راه خدا معیارهاى دیگرى براى ارتباط و اقتران و رفاقت دارند ولى ابناء دنیا معیارهاى خاص خودشان را دارند! مواظب هستند که از همدیگر سند بردارند و بهانه بگیرند و در صندوق نگه دارند تا یک روزى به‌درد بخورد و یک روزى براى همدیگر خط و نشان بکشند! اینها همه معیارهاى اهل دنیاست! آن کسى که راه خدا را مى‏رود، این معیارها را ندارد. ماهى پنجاه‌تا ایمیل براى من مى‏آید، نگاه مى‏کنم و دیلیت (حذف) مى‏کنم که پى کارش برود! مى‏توانم همه را نگه دارم و سندسازى کنم، چه‌کار دارم؟! به چه دردی مى‏خورد؟! تا یکى به من ایمیل مى‏زند، پاک مى‏کنم! دیروز قضیۀ‌ موشیه را گفتم و امروز قضیۀ پیشتیه را می‌گویم! تا برایتان یک نامه آمد، فورى [حذف] کنید برود! اصلاً فکرتان را [در این مسائل] نیاورید تا بخواهد مشغول شود. آدم باید بیکار و احمق باشد تا بخواهد فکرش را به این چیزها مشغول کند؛ سند و ایمیل و نامه نگه دارد! برای چه این کار را انجام بدهد؟!</w:t>
      </w:r>
    </w:p>
    <w:p>
      <w:pPr/>
      <w:r>
        <w:rPr>
          <w:rtl w:val="0"/>
          <w:lang w:val="fa-IR"/>
        </w:rPr>
        <w:t xml:space="preserve">برای شما گفتم که شخصی به جایى رفته بود و حرف‌ها و مطالب و چرت‌و‌پرت‌هایی را که دربارۀ ما گفته بودند به‌صورت یک کتابچه درآورده بود و براى من آورده بود! خیلى وقت پیش بود. گفت: آقا من سه ماه تابستان رفته‌ام و همۀ مطالبى که راجع به شما مى‏گویند را اینجا خدمتتان آورده‏ام. گفتم: از همان‌جا بردارید و به منزلتان ببرید و بسوزانید! پاره هم نکنید، بسوزانید! گفت: آقا سه ماه زحمت کشیدم! گفتم: بیخود کشیدى! اگر از اول پیش من مى‏آمدى، به این زحمت هم نمى‏افتادى، بلند شو برو بابا!</w:t>
      </w:r>
    </w:p>
    <w:p>
      <w:pPr/>
      <w:r>
        <w:rPr>
          <w:rtl w:val="0"/>
          <w:lang w:val="fa-IR"/>
        </w:rPr>
        <w:t xml:space="preserve">حالا این بهتر است یااینکه بگویم: بده به من ببرم ببینم و بعد هم دوتا زیراکس و فتوکپى از آن بگیرم و اصلش را هم بدهم صحافى کنند و نگه دارم و در یک چیزی بنویسم و شماره‌بندى کنم و کد بزنم و ...! عزیز من، مگر ما براى اینها در دنیا زندگى مى‏کنیم؟! مگر خدا ما را براى این حرف‌ها در دنیا آورده است؟! «</w:t>
      </w:r>
      <w:r>
        <w:rPr>
          <w:rStyle w:val="RevayatArabi"/>
          <w:rtl w:val="0"/>
          <w:lang w:val="fa-IR"/>
        </w:rPr>
        <w:t xml:space="preserve">إنّ أمامکم عقبةً کَئودا»؛</w:t>
      </w:r>
      <w:r>
        <w:rPr>
          <w:rStyle w:val="FootnoteReference"/>
        </w:rPr>
        <w:footnoteReference w:id="4"/>
      </w:r>
      <w:r>
        <w:rPr>
          <w:rtl w:val="0"/>
          <w:lang w:val="fa-IR"/>
        </w:rPr>
        <w:t xml:space="preserve"> من اگر به مطالب این دفترچه اطلاع پیدا مى‏کردم بهتر بود یا حالا که اطلاع ندارم؟! اطلاع ندارم که چه کسی چه چیزی گفته است، بالأخره هر کسی یک حرفى مى‏زند! چه دلیلى دارد که آدم این‌قدر وقتش را به این مسائل بگذراند؟! آنچه را که ما از بزرگان یاد گرفتیم اینها نبوده است، بزرگان این‌طور نبودند و عیب را نگه نمى‏داشتند! براى من ماهى پنجاه‌تا ایمیل مى‏آید و هرکسى هم هرچه بخواهد مى‏گوید. ما هم مى‏خندیم، فقط یک مقدار مى‏خندیم و تفننى برای ما است! گاهى اوقات که نمى‌آید، هم‌چنین دمغ و خمار مى‏شویم! بعد مى‏بینیم که فردا آمد و رزقمان رسید، </w:t>
      </w:r>
      <w:r>
        <w:rPr>
          <w:rStyle w:val="Arabi"/>
          <w:rtl w:val="0"/>
          <w:lang w:val="fa-IR"/>
        </w:rPr>
        <w:t xml:space="preserve">رزقٌ معلوم</w:t>
      </w:r>
      <w:r>
        <w:rPr>
          <w:rtl w:val="0"/>
          <w:lang w:val="fa-IR"/>
        </w:rPr>
        <w:t xml:space="preserve">! رزق مى‏رسد!</w:t>
      </w:r>
    </w:p>
    <w:p>
      <w:pPr/>
      <w:r>
        <w:rPr>
          <w:rtl w:val="0"/>
          <w:lang w:val="fa-IR"/>
        </w:rPr>
        <w:t xml:space="preserve">دراین‌صورت آدم نماز مى‏خواند و فکرش به‌دنبال این نمی‌رود که آن شخص درباره‏اش چه گفت! مى‏خواهد بخوابد خیالش راحت است! مى‏خواهد ذکر بگوید فکرش این‌طرف و آن‌طرف نمی‌رود! چرا؟ چون این کار مربوط به آدم‌هاى بیکار است! آدم‌هاى بیکار این کارها را انجام مى‌دهند! آدم‏هایى که کار دارند و زندگى دارند و از دقیقه دقیقۀ وقتشان باید استفاده کنند والاّ هدر مى‏رود، اینها نباید به این مسائل توجه کنند!</w:t>
      </w:r>
    </w:p>
    <w:p>
      <w:pPr>
        <w:pStyle w:val="Heading6"/>
      </w:pPr>
      <w:r>
        <w:rPr>
          <w:rtl w:val="0"/>
          <w:lang w:val="fa-IR"/>
        </w:rPr>
        <w:t xml:space="preserve">حرم شیطان!</w:t>
      </w:r>
    </w:p>
    <w:p>
      <w:pPr/>
      <w:r>
        <w:rPr>
          <w:rtl w:val="0"/>
          <w:lang w:val="fa-IR"/>
        </w:rPr>
        <w:t xml:space="preserve">پس معیارهایى که خدا و ائمه علیهم‌السّلام براى ما و ارتباطات و زندگى ما در این دنیا قرار داده‏اند، با معیارهاى اهل دنیا و شیطان متفاوت است! مى‏بینید که در اینجا همیشه مى‏گویند: اغماض کن! بگذر! فکر نکن! تلافى نکن! چه‌کار نکن! اهل دنیا مى‏گویند: عیب را نگه دار و براى روز مبادا حفظ کن و حذف نکن و در دستۀ خودش نگه دار و برای روز مبادا حفظ کن و [به‌عنوان] سند نشان بده! همیشه فکر و نفس و ذهن درگیر است، وقتى درگیر باشد دنبال چه مى‏گردد؟! دنبال راه و کلک مى‏گردد که به‌اصطلاح امروزى‏ها چطورى از آن استفادۀ بهینه کند! باید سوءاستفاده بگوییم؛ راجع به این از آن سوءاستفادۀ بهینه کند! براى کجا نگه دارد؟! آن‌وقت این نفسى که باید در آن فقط خدا باشد، [جاى شیطان می‌شود]! امام صادق علیه‌السّلام مى‏فرمایند: «</w:t>
      </w:r>
      <w:r>
        <w:rPr>
          <w:rStyle w:val="RevayatArabi"/>
          <w:rtl w:val="0"/>
          <w:lang w:val="fa-IR"/>
        </w:rPr>
        <w:t xml:space="preserve">القلبُ حرم الله فَلا تُسکِن حرمَ الله غیرَ الله</w:t>
      </w:r>
      <w:r>
        <w:rPr>
          <w:rtl w:val="0"/>
          <w:lang w:val="fa-IR"/>
        </w:rPr>
        <w:t xml:space="preserve">»</w:t>
      </w:r>
      <w:r>
        <w:rPr>
          <w:rStyle w:val="FootnoteReference"/>
        </w:rPr>
        <w:footnoteReference w:id="5"/>
      </w:r>
      <w:r>
        <w:rPr>
          <w:rtl w:val="0"/>
          <w:lang w:val="fa-IR"/>
        </w:rPr>
        <w:t xml:space="preserve"> آن‌وقت شما می‌بینید به‌جاى حرم الله، حرم الشیطان مى‏شود! حرمِ زد و بست‏ها! حرمِ قالتاق بازی‌ها! حرمِ کلک زدن‏ها! حرمِ دروغ گفتن‏ها! حرمِ سندسازى‏ها! این حرم شیطان مى‏شود. </w:t>
      </w:r>
      <w:r>
        <w:rPr>
          <w:rtl w:val="0"/>
          <w:lang w:val="fa-IR"/>
        </w:rPr>
        <w:t xml:space="preserve">﴿ٱسۡتَحۡوَذَ عَلَيۡهِمُ ٱلشَّيۡطَٰنُ فَأَنسَىٰهُمۡ ذِكۡرَ ٱللَهِ﴾</w:t>
      </w:r>
      <w:r>
        <w:rPr>
          <w:rStyle w:val="FootnoteReference"/>
        </w:rPr>
        <w:footnoteReference w:id="6"/>
      </w:r>
      <w:r>
        <w:rPr>
          <w:rtl w:val="0"/>
          <w:lang w:val="fa-IR"/>
        </w:rPr>
        <w:t xml:space="preserve"> عجیب است! وقتى قلب حرم شیطان شد، امام حسین علیه‌السّلام براى آنها تبلیغ مى‏کند، مى‏خندند! حبیب بن مظاهر براى آنها تبلیغ مى‏کند، مى‏خندند! مسلم بن عوسجه براى آنها تبلیغ مى‏کند، مى‏خندند! حرف درست و حرف حساب مى‏زنند، آنها مى‏خندند! چرا؟ چون حرم، حرم شیطان شده است. کلام امام حسین کلام‌الله است و کلام‌الله اصلاً در حرم شیطان نمى‏رود! در این گوش نمى‏رود و فقط در همین پرده‏هاى صماخ مى‏ماند و اصلاً در مغزشان هم نمى‏رود. کلام امام حسین کلام‌الله است و کلام‌الله عصمت دارد و نور مطلق است و در جاى ظلمت نفوذ نمى‏کند بلکه همان‌جا می‌ایستد! لذا مى‏خندند و مى‏گویند: بابا خودت را اذیت نکن و زیادى خودت را به زحمت نینداز، مسئله این است! یا بیعت کن یا قضیه این است! خود را به زحمت نینداز یعنى این گوش ما بسته است.</w:t>
      </w:r>
    </w:p>
    <w:p>
      <w:pPr/>
      <w:r>
        <w:rPr>
          <w:rtl w:val="0"/>
          <w:lang w:val="fa-IR"/>
        </w:rPr>
        <w:t xml:space="preserve">حضرت در اینجا مى‏فرمایند: </w:t>
      </w:r>
      <w:r>
        <w:rPr>
          <w:rtl w:val="0"/>
          <w:lang w:val="fa-IR"/>
        </w:rPr>
        <w:t xml:space="preserve">﴿ٱسۡتَحۡوَذَ عَلَيۡهِمُ ٱلشَّيۡطَٰنُ فَأَنسَىٰهُمۡ ذِكۡرَ ٱللَهِ﴾</w:t>
      </w:r>
      <w:r>
        <w:rPr>
          <w:rStyle w:val="FootnoteReference"/>
        </w:rPr>
        <w:footnoteReference w:id="7"/>
      </w:r>
      <w:r>
        <w:rPr>
          <w:rtl w:val="0"/>
          <w:lang w:val="fa-IR"/>
        </w:rPr>
        <w:t xml:space="preserve"> </w:t>
      </w:r>
      <w:r>
        <w:rPr>
          <w:rtl w:val="0"/>
          <w:lang w:val="fa-IR"/>
        </w:rPr>
        <w:t xml:space="preserve">شیطان اینجا دیگر بر اینها مسلط شد. این قلب را که حرم الله است براى خودش گرفت! خدا آن روز را نیاورد! آدم خیلى باید مواظب باشد. آن‌وقت راه مراقبه‏اش همین است؛ راه مراقبه‏اش توجه نکردن است. این راه مراقبه است! اگر شما توجه کردید و اهمیت دادید و ایمیل را حذف نکردید آن‌وقت این مطلب در قلب شما جا باز می‌کند. ایمیل اول سه درصد را اشغال مى‏کند و ایمیل دوم سه درصد دیگر و ایمیل سوم شش درصد و بعد کم‏کم بالا مى‏رود. ولى اگر دیدید بر علیه شما شخصى حرفى زده است و آن حرف احمقانه است، به‌هیچ‌وجه گوش ندهید و دیلیت کنید! اصلاً ترتیب اثر ندهید! نمى‏دانید که چیست، خیالت راحت است! حسن ظنّت هم به برادران مؤمن باقى مى‏ماند.</w:t>
      </w:r>
    </w:p>
    <w:p>
      <w:pPr/>
      <w:r>
        <w:rPr>
          <w:rtl w:val="0"/>
          <w:lang w:val="fa-IR"/>
        </w:rPr>
        <w:t xml:space="preserve">من در زمان سابق مى‏توانستم نسبت به قضایا و مطالبى که بود خیلى کارها انجام بدهم! مسائلى که مى‏گویند و حرف‌هایی که زده‏اند، تمام آنها به گوش ما مى‏رسد و گاهى گربه هم یک بویى مى‏کشد و... ولى دیدم که تمام اینها دنیاست. همۀ اینها غفلت از خداست. درحالی‌که افراد دیگر تمام همّشان این بود که بروند سند درست کنند یعنى تمام قوایشان را به‌کار مى‏گرفتند که تا مى‏توانند سند جمع کنند یا بسازند. حالا هست یا نیست آن، یک مسئله دیگر است.</w:t>
      </w:r>
    </w:p>
    <w:p>
      <w:pPr>
        <w:pStyle w:val="Heading6"/>
      </w:pPr>
      <w:r>
        <w:rPr>
          <w:rtl w:val="0"/>
          <w:lang w:val="fa-IR"/>
        </w:rPr>
        <w:t xml:space="preserve">لزوم تبدیل حکمت علمى به حکمت عملى</w:t>
      </w:r>
    </w:p>
    <w:p>
      <w:pPr/>
      <w:r>
        <w:rPr>
          <w:rtl w:val="0"/>
          <w:lang w:val="fa-IR"/>
        </w:rPr>
        <w:t xml:space="preserve">سال‌ها گذشت، سالیان سال گذشت، چه کسى بُرد؟! چه کسى در این مسئله نفع برد؟! چه کسى واقعاً نفع بُرد؟! این مطالبى که مرحوم آخوند در این </w:t>
      </w:r>
      <w:r>
        <w:rPr>
          <w:rtl w:val="0"/>
          <w:lang w:val="fa-IR"/>
        </w:rPr>
        <w:t xml:space="preserve">اسفار</w:t>
      </w:r>
      <w:r>
        <w:rPr>
          <w:rtl w:val="0"/>
          <w:lang w:val="fa-IR"/>
        </w:rPr>
        <w:t xml:space="preserve"> در این موارد به ما ارائه مى‏دهد کاربردى است ها! اینها را ما باید به‌کار ببندیم و همین‏طورى نباید سرسرى بخوانیم و برویم بلکه باید این مطالب را درنظر بگیریم، این مطالب را در زندگى خود پیاده کنیم، حکمت علمى را باید تبدیل به حکمت عملى بکنیم. چقدر اینها را انجام دادیم؟! این‏همه ما فلسفه خواندیم، این‌همه سالیان سال، چقدر این را به حکمت عملى تبدیل کردیم؟! چقدر؟! آیا از توهم و تخیل دور شدیم یا هنوز در توهمات و تخیلات هستیم؟!</w:t>
      </w:r>
    </w:p>
    <w:p>
      <w:pPr/>
      <w:r>
        <w:rPr>
          <w:rtl w:val="0"/>
          <w:lang w:val="fa-IR"/>
        </w:rPr>
        <w:t xml:space="preserve">بنده دارم یک حرف مى‏زنم، اصلاً شخص دیگرى مقصود من هست آن‌وقت براى من ایمیل مى‏زنند و مى‏گویند: آقا مقصود از این حرف، ما هستیم!</w:t>
      </w:r>
    </w:p>
    <w:p>
      <w:pPr/>
      <w:r>
        <w:rPr>
          <w:rtl w:val="0"/>
          <w:lang w:val="fa-IR"/>
        </w:rPr>
        <w:t xml:space="preserve">بابا اصلاً من به خواب هم نمى‏بینم که تو آن شخص باشى! تو أنملۀ</w:t>
      </w:r>
      <w:r>
        <w:rPr>
          <w:rStyle w:val="FootnoteReference"/>
        </w:rPr>
        <w:footnoteReference w:id="8"/>
      </w:r>
      <w:r>
        <w:rPr>
          <w:rtl w:val="0"/>
          <w:lang w:val="fa-IR"/>
        </w:rPr>
        <w:t xml:space="preserve"> آن شخص هم نمى‏شوى که من بخواهم تو را در تصورم بیاورم. تو أنمله هم حساب نمى‏شوى! آن‌وقت چطور شخصى که أنمله هم حساب نمى‏شود، مقصود من از آن مصداق مورد نظر باشد؟! چطور ممکن است؟! هیچ امکان ندارد! به این ایمیل مى‏کند، به آن ایمیل مى‏کند که آقا، من را این‌طور قصد کرده است، درحالی‌که من اصلاً او را قصد نکرده بودم! بنده در تصورم هم نبود. پس این حکمت عملى کجاست؟! </w:t>
      </w:r>
      <w:r>
        <w:rPr>
          <w:rtl w:val="0"/>
          <w:lang w:val="fa-IR"/>
        </w:rPr>
        <w:t xml:space="preserve">﴿وَلَا تَقۡفُ مَا لَيۡسَ لَكَ بِهِۦ عِلۡمٌ﴾</w:t>
      </w:r>
      <w:r>
        <w:rPr>
          <w:rStyle w:val="FootnoteReference"/>
        </w:rPr>
        <w:footnoteReference w:id="9"/>
      </w:r>
      <w:r>
        <w:rPr>
          <w:rtl w:val="0"/>
          <w:lang w:val="fa-IR"/>
        </w:rPr>
        <w:t xml:space="preserve"> کجا رفت؟! فقط ما حرفش را خواندیم؟! چقدر ما باید در این توهمات و تخیلات باشیم؟! تا چه وقتی باید در این توهمات و تخیلات باشیم؟! اینها همحساب‌وکتاباب دارد، نتیجه دارد. مراقبه همین است! سى سال، چهل سال پدر ما در صحبت‌هایش مى‏گفت: مراقبه! مراقبه! مراقبه! مراقبه! ما هم فقط گوش مى‏دهیم. بله! علامه طهرانى از اولیاء الله بوده است! به تو چه مربوط است که از اولیاء الله بوده است؟! چقدر به درد تو خورد؟! ایشان از اولیاء بوده‏اند که بوده‏اند! خیلى خوب ایشان بوده‏اند! چقدر به حرف‌هایش عمل کردى؟! چقدر این حرف‌ها را به‌کار بستى؟! چقدر به همان مراقبه‏اى که گفت گوش دادى؟! چقدر به این آیۀ </w:t>
      </w:r>
      <w:r>
        <w:rPr>
          <w:rtl w:val="0"/>
          <w:lang w:val="fa-IR"/>
        </w:rPr>
        <w:t xml:space="preserve">﴿وَلَا تَقۡفُ مَا لَيۡسَ لَكَ بِهِۦ عِلۡمٌ﴾</w:t>
      </w:r>
      <w:r>
        <w:rPr>
          <w:rtl w:val="0"/>
          <w:lang w:val="fa-IR"/>
        </w:rPr>
        <w:t xml:space="preserve"> عمل کردى؟! هیچ! فقط مبلّغ پیغمبریم و تکلیف شرعى داریم! همین! تکلیف شرعى، تکلیف شرعى! اینها همه گول زدن خود انسان است.</w:t>
      </w:r>
    </w:p>
    <w:p>
      <w:pPr/>
      <w:r>
        <w:rPr>
          <w:rtl w:val="0"/>
          <w:lang w:val="fa-IR"/>
        </w:rPr>
        <w:t xml:space="preserve">یک [آیۀ] قرآن براى سلوک ما کافى است و حتى احتیاج به روایات ائمه علیهم‌السّلام هم نداریم ـ روایات ائمه روى سرمان جا دارد ـ یک [آیۀ] قرآن کافى است و یک عمل به آیات قرآن کافى است، چقدر ما عمل کردیم؟! مدام مى‏گویند: خواندن این فلسفه اشکال دارد! تو نمى‏خواهد فلسفه بخوانى! تو برو به همان قرآن عمل کن! تو به قرآن عمل کردى یااینکه فقط آن را براى مجالس فاتحه گذاشته‌اى؟! همین افراد همین‏هایى که فقط [اشکال‌تراشى] مى‏کنند، فقط توان دارند حرف بزنند! آن‏ها کجا و این مطالب کجا؟! معمم و غیر معمم همه یکى هستند؛ همه دنبال تخیلات هستیم، همه دنبال توهمات و ... هستیم. باید عمل کرد آقا! وقتى که بزرگان مى‏گویند: تا علم ندارى [حرف نزن]، بعضى‏ها مى‏آیند و مى‏گویند که فلانی در فلان جا راجع به شما این مطلب‏ را گفت، من مى‏گویم: شاید شما اشتباه فهمیده‏اید، بعد معلوم مى‏شود، نه! آن شخص اصلاً یک هم‌چنین قصدى نداشته است و در یک فاز دیگر و در یک عالم دیگر بوده است.</w:t>
      </w:r>
    </w:p>
    <w:p>
      <w:pPr>
        <w:pStyle w:val="Heading6"/>
      </w:pPr>
      <w:r>
        <w:rPr>
          <w:rtl w:val="0"/>
          <w:lang w:val="fa-IR"/>
        </w:rPr>
        <w:t xml:space="preserve">اختصاص و انحصار عدم اشتباه به معصوم علیه‌السّلام</w:t>
      </w:r>
    </w:p>
    <w:p>
      <w:pPr/>
      <w:r>
        <w:rPr>
          <w:rtl w:val="0"/>
          <w:lang w:val="fa-IR"/>
        </w:rPr>
        <w:t xml:space="preserve">این مسئلۀ مهمى است یعنى انسان باید نسبت به این قضیه توجه داشته باشد، یعنى براى خودش و راه خودش این مسئله خیلى مهم است که بتواند مسیر خودش را پیدا کند. توجه به این قضیه باعث مى‏شود که انسان در مسائل اجتماعى و در آن مسائل بسیار مهم‏تر، کم‏تر دچار خطا و اشتباه بشود! کمتر گرفتار شود! نمى‏گویم که دچار اشتباه نمی‌شود، آن مربوط به معصوم است؛ عدم اشتباه، کار معصوم است! اما مى‏گویم که اشتباه کمتر بشود تا بتواند نتیجۀ بهترى بگیرد.</w:t>
      </w:r>
    </w:p>
    <w:p>
      <w:pPr>
        <w:pStyle w:val="Heading6"/>
      </w:pPr>
      <w:r>
        <w:rPr>
          <w:rtl w:val="0"/>
          <w:lang w:val="fa-IR"/>
        </w:rPr>
        <w:t xml:space="preserve">شکل‌گیری قضاء مقدّر به‌واسطۀ علل خارجى</w:t>
      </w:r>
    </w:p>
    <w:p>
      <w:pPr/>
      <w:r>
        <w:rPr>
          <w:rtl w:val="0"/>
          <w:lang w:val="fa-IR"/>
        </w:rPr>
        <w:t xml:space="preserve">مرحوم سید در مسئلۀ قضاء کلى در همین زمینه یک مطلبى را بیان مى‏کنند؛ ایشان مى‏فرمایند که قضاء کلى عبارت از یک حقیقت کلیه‏اى است که قابل تشکّل به اَشکال مختلفى است ولى هنوز آن صورت خارجیه و تشخصش و جزئیتش ابرام نشده است و هنوز معیّن نشده است و در این تعیینى که مى‏خواهد پیدا کند، علل مختلفه‏اى دخالت دارند تا بخواهد آن مسئلۀ کلى به یک صورت خاص دربیاید و صورت پیدا بکند. درست مثل یک جنینى که این جنین در رحم زن قرار مى‏گیرد و آمادگى براى تشکّل به‌صورت یک انسان را دارد. در اینکه این جنین یک انسان مى‏شود، حرفى نیست. بالأخره مآل این جنین یک انسان دو پاست. هیچ‏وقت شما دیده‏اید که یک جنینى در رحم مادر قرار بگیرد و از آن‌طرف یک گوسفند بیرون بیاید؟! ما که ندیده‌ایم! این جنینى که در رحم مادر قرار مى‏گیرد و به‌سمت یک انسان مى‏رود که‏ مصداق آیۀ </w:t>
      </w:r>
      <w:r>
        <w:rPr>
          <w:rtl w:val="0"/>
          <w:lang w:val="fa-IR"/>
        </w:rPr>
        <w:t xml:space="preserve">﴿ثُمَّ أَنشَأۡنَٰهُ خَلۡقًا ءَاخَرَ فَتَبَارَكَ ٱللَهُ أَحۡسَنُ ٱلۡخَٰلِقِينَ﴾</w:t>
      </w:r>
      <w:r>
        <w:rPr>
          <w:rStyle w:val="FootnoteReference"/>
        </w:rPr>
        <w:footnoteReference w:id="10"/>
      </w:r>
      <w:r>
        <w:rPr>
          <w:rtl w:val="0"/>
          <w:lang w:val="fa-IR"/>
        </w:rPr>
        <w:t xml:space="preserve"> مى‏باشد. این جنین مى‏تواند در این سیر به اصناف مختلف در کیفیت تعیّن و تشخّص ظاهر بشود و تمام اینها به عللى بستگى دارد که در این مدت برایش قرار دارد. آن جنین و عاقبتش قضاء کلى مى‏شود اما آن تشخّص و تصورش ـ </w:t>
      </w:r>
      <w:r>
        <w:rPr>
          <w:rtl w:val="0"/>
          <w:lang w:val="fa-IR"/>
        </w:rPr>
        <w:t xml:space="preserve">﴿هُوَ ٱلَّذِي يُصَوِّرُكُمۡ فِي ٱلۡأَرۡحَامِ كَيۡفَ يَشَآءُ﴾</w:t>
      </w:r>
      <w:r>
        <w:rPr>
          <w:rStyle w:val="FootnoteReference"/>
        </w:rPr>
        <w:footnoteReference w:id="11"/>
      </w:r>
      <w:r>
        <w:rPr>
          <w:rtl w:val="0"/>
          <w:lang w:val="fa-IR"/>
        </w:rPr>
        <w:t xml:space="preserve"> چگونه است؟ مصوّر چه کسى بود؟ </w:t>
      </w:r>
      <w:r>
        <w:rPr>
          <w:rStyle w:val="Arabi"/>
          <w:rtl w:val="0"/>
          <w:lang w:val="fa-IR"/>
        </w:rPr>
        <w:t xml:space="preserve">هو المصوّر</w:t>
      </w:r>
      <w:r>
        <w:rPr>
          <w:rtl w:val="0"/>
          <w:lang w:val="fa-IR"/>
        </w:rPr>
        <w:t xml:space="preserve"> ـ به‌واسطۀ علل خارجى، قضاء مقدّر می‌شود! یعنى غذایى که مادر در طول این مدت مى‏خورد، در کیفیت این جنین و در تشخصش تأثیر دارد. چه نوع غذایى مى‏خورد، چه نوع میوه‏اى مى‏خورد، از چه مواد غذایى استفاده مى‏کند، در چه فضایى قرار مى‏گیرد و آیا در حالت حزن است یا در حالت‏هاى عصبى و در استرس و اینها به‌سر مى‏برد یااینکه نه وضعیتش خوب است و...؟ با چه افرادى صحبت مى‏کند [چون اثر دارد] لذا مى‏گویند که در دوران حاملگى نباید با هرکسى صحبت کنید، هر تلفنى را نباید جواب بدهید، با هرکسى نباید سلام‌و‌علیک بکنید، تمام اینها همه تأثیر مى‏گذارد. شرکت در مجالس ذکر، شرکت در مجالس اهل‌بیت، شرکت در مجالسى که در آن روحانیت هست، ارتباط با افرادى که مصداق «</w:t>
      </w:r>
      <w:r>
        <w:rPr>
          <w:rStyle w:val="RevayatArabi"/>
          <w:rtl w:val="0"/>
          <w:lang w:val="fa-IR"/>
        </w:rPr>
        <w:t xml:space="preserve">یذکرکم الجنّة</w:t>
      </w:r>
      <w:r>
        <w:rPr>
          <w:rtl w:val="0"/>
          <w:lang w:val="fa-IR"/>
        </w:rPr>
        <w:t xml:space="preserve">»</w:t>
      </w:r>
      <w:r>
        <w:rPr>
          <w:rStyle w:val="FootnoteReference"/>
        </w:rPr>
        <w:footnoteReference w:id="12"/>
      </w:r>
      <w:r>
        <w:rPr>
          <w:rtl w:val="0"/>
          <w:lang w:val="fa-IR"/>
        </w:rPr>
        <w:t xml:space="preserve"> هست و امثال‌ذلک، همۀ اینها در شکل‌گیری این بچه دخالت مى‏کنند. تمام اینها دخالت دارند</w:t>
      </w:r>
      <w:r>
        <w:rPr>
          <w:rStyle w:val="FootnoteReference"/>
        </w:rPr>
        <w:footnoteReference w:id="13"/>
      </w:r>
      <w:r>
        <w:rPr>
          <w:rtl w:val="0"/>
          <w:lang w:val="fa-IR"/>
        </w:rPr>
        <w:t xml:space="preserve"> وقتى که این جریانات همه انجام شد، آن‌وقت بچه که به دنیا آمد و ما او را نگاه‏ کردیم، این قضاء مقدّر مى‏شود!</w:t>
      </w:r>
    </w:p>
    <w:p>
      <w:pPr/>
      <w:r>
        <w:rPr>
          <w:rtl w:val="0"/>
          <w:lang w:val="fa-IR"/>
        </w:rPr>
        <w:t xml:space="preserve">یعنى آن قضاء کلی که باید یک انسان از این زن متولد بشود ـ یک پسر یا یک دختر ـ به اَشکال مختلفه درمى‏آید و بالا و پایین مى‏رود، علل و عوامل مختلف مى‏آیند در این جنین تأثیر خودشان را مى‏گذارند، در نتیجه به آن حدّ نهایى که حدّ کمال وجودى در رحم است مى‏رسد، آن‌وقت تشخّص پیدا مى‏کند و حالا موقع ورودش در این دنیا و حرکت در این دنیاست.</w:t>
      </w:r>
    </w:p>
    <w:p>
      <w:pPr>
        <w:pStyle w:val="Heading6"/>
      </w:pPr>
      <w:r>
        <w:rPr>
          <w:rtl w:val="0"/>
          <w:lang w:val="fa-IR"/>
        </w:rPr>
        <w:t xml:space="preserve">توجیه کلام مرحوم سید نسبت به قضاء کلی</w:t>
      </w:r>
    </w:p>
    <w:p>
      <w:pPr/>
      <w:r>
        <w:rPr>
          <w:rtl w:val="0"/>
          <w:lang w:val="fa-IR"/>
        </w:rPr>
        <w:t xml:space="preserve">اگر بخواهیم کلام مرحوم سید را توجیه کنیم به این کیفیت مى‏توانیم توجیه کنیم که مسئلۀ قضاء عبارت از یک حقیقت کلیه است که واقعیتش براى ما ناشناخته است ولى وقتى که با علل و عوامل مختلف دست‌به‌دست هم مى‏دهند، به آن صورت خارجى که قضاء مقدّر است متصور مى‏شوند و به آن کیفیت که شد دیگر حتمى است یعنى دیگر در آن هیچ شک و شبهه‏اى نیست.</w:t>
      </w:r>
    </w:p>
    <w:p>
      <w:pPr/>
      <w:r>
        <w:rPr>
          <w:rtl w:val="0"/>
          <w:lang w:val="fa-IR"/>
        </w:rPr>
        <w:t xml:space="preserve">مسئلۀ مُثل افلاطونى هم مثل همین است؛ یعنى مُثل افلاطونی یک حقیقت کلیه است که آن حقیقت کلیه، قابل انطباق بر همۀ افراد و اشخاص است ولى در تعیّن خارجى، هر تعیّنى به ملاحظۀ سلسلۀ علل که در این سلسلۀ طولیه قرار دارد آن تشخّص خارجى را به یک کیفیت خاصى ظاهر مى‏کند و آن جزئیت خارجى را به یک کیفیت خاصى نشان مى‏دهد درحالی‌که رشتۀ همۀ اینها به همان حقیقت کلیۀ قابل انطباق بر همه است. این ماحصل کلام مرحوم سید بود که در اینجا به یک نحوى توجیه به مثل افلاطونى شد و مرحوم آخوند هم تا حدودى این مطلب را مى‏پذیرد.</w:t>
      </w:r>
    </w:p>
    <w:p>
      <w:pPr>
        <w:pStyle w:val="Heading6"/>
      </w:pPr>
      <w:r>
        <w:rPr>
          <w:rtl w:val="0"/>
          <w:lang w:val="fa-IR"/>
        </w:rPr>
        <w:t xml:space="preserve">مقام قضاء کلی همان مقام اجمال و تفصیل</w:t>
      </w:r>
    </w:p>
    <w:p>
      <w:pPr/>
      <w:r>
        <w:rPr>
          <w:rtl w:val="0"/>
          <w:lang w:val="fa-IR"/>
        </w:rPr>
        <w:t xml:space="preserve">اگر رفقا در یادشان باشد عرض ما در مسئلۀ قضاء کلى و قضاء مقدّر، فقط مقامِ جزئیت و کلیت نیست بلکه مقام اجمال و تفصیل است؛ مقام اجمال و تفصیل، مقام علم عنائى و تصور صورت خارجى است. در مسئلۀ علم عنائى ـ اگر درنظرتان باشد ـ ما چه عرض کردیم؟ گفتیم که علم عنائى عبارت از حضورِ حقیقت اشیاء به عینه در علم بارى‏ است ازلاً.</w:t>
      </w:r>
    </w:p>
    <w:p>
      <w:pPr/>
      <w:r>
        <w:rPr>
          <w:rtl w:val="0"/>
          <w:lang w:val="fa-IR"/>
        </w:rPr>
        <w:t xml:space="preserve">در حقیقت علمیه ممکن است شما صورت یک شیء را درنظر بگیرید اما خود آن شیء از نظر شما غائب باشد. یک فردى را مى‏بینید و بعد از او جدا مى‏شوید و در منزل مى‏روید، شب صورتش در منزل با شماست ولى او در منزل خودش هست. یک صورتى فقط هست و آن صورت اتحاد نفسانى با ذهن و با نفس دارد. حقیقت و تعیّنش با خود اوست، ماهیتش با خود اوست. فقط یک صورت علمیه که یک حقیقت علمیه است با شماست! در اینجا یک حقیقت علمیه همراه شما هست. حقیقت است یعنى اعتبار نیست. علمى است یعنى عینى نیست. این الآن با شما هست و با شما اتحاد دارد ولى آن شخص با شما کارى ندارد و شما هم با او کارى ندارید، از همدیگر هم خبرى ندارید. او در منزل خودش و شما هم در منزل خودتان هستید.</w:t>
      </w:r>
    </w:p>
    <w:p>
      <w:pPr>
        <w:pStyle w:val="Heading6"/>
      </w:pPr>
      <w:r>
        <w:rPr>
          <w:rtl w:val="0"/>
          <w:lang w:val="fa-IR"/>
        </w:rPr>
        <w:t xml:space="preserve">وجود علمى ما ازلاً مساوى با وجود حقیقى ذات پروردگار</w:t>
      </w:r>
    </w:p>
    <w:p>
      <w:pPr/>
      <w:r>
        <w:rPr>
          <w:rtl w:val="0"/>
          <w:lang w:val="fa-IR"/>
        </w:rPr>
        <w:t xml:space="preserve">حالا صحبت در این است که حقیقت علمیۀ ما ـ کارى به حقیقت عینى نداریم که حقیقت عینى در چه زمانى بوده و چه بوده است ـ در علم بارى‏ آیا مسبوق به عدم است یا مسبوق به عدم نیست؟ این چطورى است؟ شما چطور مى‏شود تصور کنید؟ اینکه وجود حضرت حق یک وجود ازلى است و مسبوق به عدم نیست [جای شک ندارد] وجود باری و وجود بالصرافۀ حق، ازلاً و ابداً هست یعنى مسبوق به عدم نیست. آیا این اسماء و صفات او که لازمۀ ذات وجود باری است مثل اسم علیم و قدیر، وجودشان ازلى است یا مسبوق به عدم است؟! این‌هم دیگر ازلى مى‏شود! چون تا جایى که ذات هست علم ملاصق و ملازم با ذات است. شما نمى‏توانید در جایى ذات را بدون علم تصویر کنید، این تصور، تصور محال است! پس اگر وجود حق وجود ازلى‏ است، اسم و صفت او هم ازلى خواهد بود. اسم او که ازلى خواهد بود، معلوم این اسم هم ازلى خواهد بود، معلوم این اسم چیست؟! «ما» جزئیات؛ پس ما هم ازلى هستیم. تا اینجا که شک نداریم؟!</w:t>
      </w:r>
    </w:p>
    <w:p>
      <w:pPr>
        <w:pStyle w:val="SoalMatn"/>
      </w:pPr>
      <w:r>
        <w:rPr>
          <w:rtl w:val="0"/>
          <w:lang w:val="fa-IR"/>
        </w:rPr>
        <w:t xml:space="preserve">تلمیذ:</w:t>
      </w:r>
      <w:r>
        <w:rPr>
          <w:rtl w:val="0"/>
          <w:lang w:val="fa-IR"/>
        </w:rPr>
        <w:t xml:space="preserve"> تا اینجا که علم به ذات بود، علم فعلی دردی را دوا نمی‌کند ...</w:t>
      </w:r>
    </w:p>
    <w:p>
      <w:pPr/>
      <w:r>
        <w:rPr>
          <w:rtl w:val="0"/>
          <w:lang w:val="fa-IR"/>
        </w:rPr>
        <w:t xml:space="preserve">استاد: چرا نسبت به ذات؟!</w:t>
      </w:r>
    </w:p>
    <w:p>
      <w:pPr>
        <w:pStyle w:val="SoalMatn"/>
      </w:pPr>
      <w:r>
        <w:rPr>
          <w:rtl w:val="0"/>
          <w:lang w:val="fa-IR"/>
        </w:rPr>
        <w:t xml:space="preserve">تلمیذ:</w:t>
      </w:r>
      <w:r>
        <w:rPr>
          <w:rtl/>
          <w:lang w:val="fa-IR"/>
        </w:rPr>
        <w:t xml:space="preserve"> الآن ما داریم راجع به علم باری نسبت به خودش صحبت مى‏کنیم چون ملاصق [و ملازم با ذات است].</w:t>
      </w:r>
    </w:p>
    <w:p>
      <w:pPr/>
      <w:r>
        <w:rPr>
          <w:rtl w:val="0"/>
          <w:lang w:val="fa-IR"/>
        </w:rPr>
        <w:t xml:space="preserve">استاد: مگر آثار ذات غیر از خود ذات است؟! نیست. وقتی نبود پس علم به ذات [علم به آثار ذات است] زیرا همان‌طورى‌که نفس وجودِ بالصرافه </w:t>
      </w:r>
      <w:r>
        <w:rPr>
          <w:rStyle w:val="Arabi"/>
          <w:rtl w:val="0"/>
          <w:lang w:val="fa-IR"/>
        </w:rPr>
        <w:t xml:space="preserve">مساوقٌ لِلعلمِ بِالوجود بِالعلمِ الذّاتى</w:t>
      </w:r>
      <w:r>
        <w:rPr>
          <w:rtl w:val="0"/>
          <w:lang w:val="fa-IR"/>
        </w:rPr>
        <w:t xml:space="preserve"> است، نفس علم ذاتى به ذات، </w:t>
      </w:r>
      <w:r>
        <w:rPr>
          <w:rStyle w:val="Arabi"/>
          <w:rtl w:val="0"/>
          <w:lang w:val="fa-IR"/>
        </w:rPr>
        <w:t xml:space="preserve">مساوقٌ لِآثار الذات و لِملزوماتِ الذات بِهذِه التساوى</w:t>
      </w:r>
      <w:r>
        <w:rPr>
          <w:rtl w:val="0"/>
          <w:lang w:val="fa-IR"/>
        </w:rPr>
        <w:t xml:space="preserve">. پس علم ذات به ذات، </w:t>
      </w:r>
      <w:r>
        <w:rPr>
          <w:rStyle w:val="Arabi"/>
          <w:rtl w:val="0"/>
          <w:lang w:val="fa-IR"/>
        </w:rPr>
        <w:t xml:space="preserve">مساوقٌ لِعلمِ الذات بِلوازمِ الذات و بِآثارِ الذات</w:t>
      </w:r>
      <w:r>
        <w:rPr>
          <w:rtl w:val="0"/>
          <w:lang w:val="fa-IR"/>
        </w:rPr>
        <w:t xml:space="preserve">. همان‌طورى‌که علم ذات به ذات ازلاً هست، علم ذات به آثارش هم ازلاً هست. آیا شما مى‏توانید که لحظه‏اى تصور کنید ـ البته لحظه غلط است، لحظه زمان است، لحظه یعنى برهه‏اى، برهۀ دهرى ـ برهه و مرتبه‌ای تصور کنید که ذات پروردگار از علم به ما یعنی ماى جزئى نه کلى، خالى باشد؟! محال است! پس وجود علمى ما ازلاً مساوى با وجود حقیقى ذات پروردگار است. حالا قضاء کلى در اینجا چه شکلى پیدا است؟ مقدرّش چه مى‏شود؟ إن‌شاءالله براى جلسه دیگر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الاشارات</w:t>
      </w:r>
      <w:r>
        <w:rPr>
          <w:rtl w:val="0"/>
          <w:lang w:val="fa-IR"/>
        </w:rPr>
        <w:t xml:space="preserve">، ج 3، ص 316 ـ 318؛ </w:t>
      </w:r>
      <w:r>
        <w:rPr>
          <w:rtl w:val="0"/>
          <w:lang w:val="fa-IR"/>
        </w:rPr>
        <w:t xml:space="preserve">الحکمة المتعالیة</w:t>
      </w:r>
      <w:r>
        <w:rPr>
          <w:rtl w:val="0"/>
          <w:lang w:val="fa-IR"/>
        </w:rPr>
        <w:t xml:space="preserve">، ج 6، ص 290- 296؛ </w:t>
      </w:r>
      <w:r>
        <w:rPr>
          <w:rtl w:val="0"/>
          <w:lang w:val="fa-IR"/>
        </w:rPr>
        <w:t xml:space="preserve">شرح المنظومه</w:t>
      </w:r>
      <w:r>
        <w:rPr>
          <w:rtl w:val="0"/>
          <w:lang w:val="fa-IR"/>
        </w:rPr>
        <w:t xml:space="preserve">، ص 175 ـ 177؛ </w:t>
      </w:r>
      <w:r>
        <w:rPr>
          <w:rtl w:val="0"/>
          <w:lang w:val="fa-IR"/>
        </w:rPr>
        <w:t xml:space="preserve">نهایة الحکمه</w:t>
      </w:r>
      <w:r>
        <w:rPr>
          <w:rtl w:val="0"/>
          <w:lang w:val="fa-IR"/>
        </w:rPr>
        <w:t xml:space="preserve">، </w:t>
      </w:r>
      <w:r>
        <w:rPr>
          <w:rStyle w:val="Arabi"/>
          <w:rtl w:val="0"/>
          <w:lang w:val="fa-IR"/>
        </w:rPr>
        <w:t xml:space="preserve">الفصل الثانى عشر</w:t>
      </w:r>
      <w:r>
        <w:rPr>
          <w:rtl w:val="0"/>
          <w:lang w:val="fa-IR"/>
        </w:rPr>
        <w:t xml:space="preserve">، ص 356.</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اللهوف</w:t>
      </w:r>
      <w:r>
        <w:rPr>
          <w:rtl w:val="0"/>
          <w:lang w:val="fa-IR"/>
        </w:rPr>
        <w:t xml:space="preserve">، ص 126؛ </w:t>
      </w:r>
      <w:r>
        <w:rPr>
          <w:rtl w:val="0"/>
          <w:lang w:val="fa-IR"/>
        </w:rPr>
        <w:t xml:space="preserve">نفس المهموم، </w:t>
      </w:r>
      <w:r>
        <w:rPr>
          <w:rtl w:val="0"/>
          <w:lang w:val="fa-IR"/>
        </w:rPr>
        <w:t xml:space="preserve">ص 100؛ </w:t>
      </w:r>
      <w:r>
        <w:rPr>
          <w:rtl w:val="0"/>
          <w:lang w:val="fa-IR"/>
        </w:rPr>
        <w:t xml:space="preserve">مقتل خوارزمى،</w:t>
      </w:r>
      <w:r>
        <w:rPr>
          <w:rtl w:val="0"/>
          <w:lang w:val="fa-IR"/>
        </w:rPr>
        <w:t xml:space="preserve"> ج 2، ص 5 و 6؛</w:t>
      </w:r>
      <w:r>
        <w:rPr>
          <w:rtl w:val="0"/>
          <w:lang w:val="fa-IR"/>
        </w:rPr>
        <w:t xml:space="preserve"> لمعات الحسین</w:t>
      </w:r>
      <w:r>
        <w:rPr>
          <w:rtl w:val="0"/>
          <w:lang w:val="fa-IR"/>
        </w:rPr>
        <w:t xml:space="preserve">، ص 38.</w:t>
      </w:r>
    </w:p>
  </w:footnote>
  <w:footnote w:id="3">
    <w:p>
      <w:pPr>
        <w:pStyle w:val="FootnoteText"/>
      </w:pPr>
      <w:r>
        <w:rPr>
          <w:rStyle w:val="FootnoteReference"/>
        </w:rPr>
        <w:footnoteRef/>
      </w:r>
      <w:r>
        <w:t xml:space="preserve"> </w:t>
      </w:r>
      <w:r>
        <w:rPr>
          <w:rtl w:val="0"/>
          <w:lang w:val="fa-IR"/>
        </w:rPr>
        <w:t xml:space="preserve">. سوره حج (22) آیه 11. </w:t>
      </w:r>
      <w:r>
        <w:rPr>
          <w:rtl w:val="0"/>
          <w:lang w:val="fa-IR"/>
        </w:rPr>
        <w:t xml:space="preserve">نور ملکوت قرآن</w:t>
      </w:r>
      <w:r>
        <w:rPr>
          <w:rtl w:val="0"/>
          <w:lang w:val="fa-IR"/>
        </w:rPr>
        <w:t xml:space="preserve">، ج 4، ص 313:</w:t>
      </w:r>
    </w:p>
    <w:p>
      <w:pPr>
        <w:pStyle w:val="FootnoteText"/>
      </w:pPr>
      <w:r>
        <w:rPr>
          <w:rtl w:val="0"/>
          <w:lang w:val="fa-IR"/>
        </w:rPr>
        <w:t xml:space="preserve">«هم دنیایش به خسارت زیان‌بار شده، هم آخرتش. این است آن خسران با حسرت آشکار.»</w:t>
      </w:r>
    </w:p>
  </w:footnote>
  <w:footnote w:id="4">
    <w:p>
      <w:pPr>
        <w:pStyle w:val="FootnoteText"/>
      </w:pPr>
      <w:r>
        <w:rPr>
          <w:rtl w:val="0"/>
          <w:lang w:val="fa-IR"/>
        </w:rPr>
        <w:footnoteRef/>
      </w:r>
      <w:r>
        <w:rPr>
          <w:rtl w:val="0"/>
          <w:lang w:val="fa-IR"/>
        </w:rPr>
        <w:t xml:space="preserve">. </w:t>
      </w:r>
      <w:r>
        <w:rPr>
          <w:rtl w:val="0"/>
          <w:lang w:val="fa-IR"/>
        </w:rPr>
        <w:t xml:space="preserve">الأمالی</w:t>
      </w:r>
      <w:r>
        <w:rPr>
          <w:rtl w:val="0"/>
          <w:lang w:val="fa-IR"/>
        </w:rPr>
        <w:t xml:space="preserve">، شیخ مرتضی، ج ۲، ص ۲۸۹؛ جهت اطلاع بیشتر رجوع شود به </w:t>
      </w:r>
      <w:r>
        <w:rPr>
          <w:rtl w:val="0"/>
          <w:lang w:val="fa-IR"/>
        </w:rPr>
        <w:t xml:space="preserve">معاد شناسى</w:t>
      </w:r>
      <w:r>
        <w:rPr>
          <w:rtl w:val="0"/>
          <w:lang w:val="fa-IR"/>
        </w:rPr>
        <w:t xml:space="preserve">، ج 8، ص 95 ـ 97؛ </w:t>
      </w:r>
      <w:r>
        <w:rPr>
          <w:rtl w:val="0"/>
          <w:lang w:val="fa-IR"/>
        </w:rPr>
        <w:t xml:space="preserve">حیات جاوید</w:t>
      </w:r>
      <w:r>
        <w:rPr>
          <w:rtl w:val="0"/>
          <w:lang w:val="fa-IR"/>
        </w:rPr>
        <w:t xml:space="preserve">، ص 147.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ج ۱، ص ۱۸5؛ </w:t>
      </w:r>
      <w:r>
        <w:rPr>
          <w:rtl w:val="0"/>
          <w:lang w:val="fa-IR"/>
        </w:rPr>
        <w:t xml:space="preserve">بحار الأنوار</w:t>
      </w:r>
      <w:r>
        <w:rPr>
          <w:rtl w:val="0"/>
          <w:lang w:val="fa-IR"/>
        </w:rPr>
        <w:t xml:space="preserve">، ج 67، باب 43، ص 13.</w:t>
      </w:r>
    </w:p>
  </w:footnote>
  <w:footnote w:id="6">
    <w:p>
      <w:pPr>
        <w:pStyle w:val="FootnoteText"/>
      </w:pPr>
      <w:r>
        <w:rPr>
          <w:rStyle w:val="FootnoteReference"/>
        </w:rPr>
        <w:footnoteRef/>
      </w:r>
      <w:r>
        <w:t xml:space="preserve"> </w:t>
      </w:r>
      <w:r>
        <w:rPr>
          <w:rtl w:val="0"/>
          <w:lang w:val="fa-IR"/>
        </w:rPr>
        <w:t xml:space="preserve">. سوره مجادله (58) آیه 19. </w:t>
      </w:r>
      <w:r>
        <w:rPr>
          <w:rtl w:val="0"/>
          <w:lang w:val="fa-IR"/>
        </w:rPr>
        <w:t xml:space="preserve">انوار ملکوت</w:t>
      </w:r>
      <w:r>
        <w:rPr>
          <w:rtl w:val="0"/>
          <w:lang w:val="fa-IR"/>
        </w:rPr>
        <w:t xml:space="preserve">، ج 2، ص 327:</w:t>
      </w:r>
    </w:p>
    <w:p>
      <w:pPr>
        <w:pStyle w:val="FootnoteText"/>
      </w:pPr>
      <w:r>
        <w:rPr>
          <w:rtl/>
          <w:lang w:val="fa-IR"/>
        </w:rPr>
        <w:t xml:space="preserve">«شیطان بر ایشان غالب و چیره گشته است پس ذکر و یاد خدا را از یادشان برده است (آنها را از توجه و روى آوردن به خداى تعالى غافل و نا آگاه گردانیده است).»</w:t>
      </w:r>
    </w:p>
  </w:footnote>
  <w:footnote w:id="7">
    <w:p>
      <w:pPr>
        <w:pStyle w:val="FootnoteText"/>
      </w:pPr>
      <w:r>
        <w:rPr>
          <w:rStyle w:val="FootnoteReference"/>
        </w:rPr>
        <w:footnoteRef/>
      </w:r>
      <w:r>
        <w:t xml:space="preserve"> </w:t>
      </w:r>
      <w:r>
        <w:rPr>
          <w:rtl w:val="0"/>
          <w:lang w:val="fa-IR"/>
        </w:rPr>
        <w:t xml:space="preserve">. سوره مجادله (58) آیه 19. </w:t>
      </w:r>
      <w:r>
        <w:rPr>
          <w:rtl w:val="0"/>
          <w:lang w:val="fa-IR"/>
        </w:rPr>
        <w:t xml:space="preserve">انوار الملکوت</w:t>
      </w:r>
      <w:r>
        <w:rPr>
          <w:rtl w:val="0"/>
          <w:lang w:val="fa-IR"/>
        </w:rPr>
        <w:t xml:space="preserve">، ج ‏2، ص 327، تعلیقه:</w:t>
      </w:r>
    </w:p>
    <w:p>
      <w:pPr>
        <w:pStyle w:val="FootnoteText"/>
      </w:pPr>
      <w:r>
        <w:rPr>
          <w:rtl w:val="0"/>
          <w:lang w:val="fa-IR"/>
        </w:rPr>
        <w:t xml:space="preserve">«شیطان بر ایشان غالب و چیره گشته، پس ذکر و یاد خدا را از یادشان برده.»</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«انامل: جمع اَنْمُله؛ سرانگشتان.»</w:t>
      </w:r>
    </w:p>
  </w:footnote>
  <w:footnote w:id="9">
    <w:p>
      <w:pPr>
        <w:pStyle w:val="FootnoteText"/>
      </w:pPr>
      <w:r>
        <w:rPr>
          <w:rStyle w:val="FootnoteReference"/>
        </w:rPr>
        <w:footnoteRef/>
      </w:r>
      <w:r>
        <w:t xml:space="preserve"> </w:t>
      </w:r>
      <w:r>
        <w:rPr>
          <w:rtl w:val="0"/>
          <w:lang w:val="fa-IR"/>
        </w:rPr>
        <w:t xml:space="preserve">. سوره إسراء (17) آیه 36. </w:t>
      </w:r>
      <w:r>
        <w:rPr>
          <w:rtl w:val="0"/>
          <w:lang w:val="fa-IR"/>
        </w:rPr>
        <w:t xml:space="preserve">نور ملکوت قرآن</w:t>
      </w:r>
      <w:r>
        <w:rPr>
          <w:rtl w:val="0"/>
          <w:lang w:val="fa-IR"/>
        </w:rPr>
        <w:t xml:space="preserve">، ج 1، ص 355:</w:t>
      </w:r>
    </w:p>
    <w:p>
      <w:pPr>
        <w:pStyle w:val="FootnoteText"/>
      </w:pPr>
      <w:r>
        <w:rPr>
          <w:rtl w:val="0"/>
          <w:lang w:val="fa-IR"/>
        </w:rPr>
        <w:t xml:space="preserve">«و پیروى مکن از آنچه براى تو نسبت بدان، علم نیست.»</w:t>
      </w:r>
    </w:p>
  </w:footnote>
  <w:footnote w:id="10">
    <w:p>
      <w:pPr>
        <w:pStyle w:val="FootnoteText"/>
      </w:pPr>
      <w:r>
        <w:rPr>
          <w:rStyle w:val="FootnoteReference"/>
        </w:rPr>
        <w:footnoteRef/>
      </w:r>
      <w:r>
        <w:t xml:space="preserve"> </w:t>
      </w:r>
      <w:r>
        <w:rPr>
          <w:rtl w:val="0"/>
          <w:lang w:val="fa-IR"/>
        </w:rPr>
        <w:t xml:space="preserve">. سوره مؤمنون (23) آیه 14:</w:t>
      </w:r>
    </w:p>
    <w:p>
      <w:pPr>
        <w:pStyle w:val="FootnoteText"/>
      </w:pPr>
      <w:r>
        <w:rPr>
          <w:rtl w:val="0"/>
          <w:lang w:val="fa-IR"/>
        </w:rPr>
        <w:t xml:space="preserve">﴿ثُمَّ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 </w:t>
      </w:r>
      <w:r>
        <w:rPr>
          <w:rtl w:val="0"/>
          <w:lang w:val="fa-IR"/>
        </w:rPr>
        <w:t xml:space="preserve">نور ملکوت قرآن</w:t>
      </w:r>
      <w:r>
        <w:rPr>
          <w:rtl w:val="0"/>
          <w:lang w:val="fa-IR"/>
        </w:rPr>
        <w:t xml:space="preserve">، ج 2، ص 134:</w:t>
      </w:r>
    </w:p>
    <w:p>
      <w:pPr>
        <w:pStyle w:val="FootnoteText"/>
      </w:pPr>
      <w:r>
        <w:rPr>
          <w:rtl w:val="0"/>
          <w:lang w:val="fa-IR"/>
        </w:rPr>
        <w:t xml:space="preserve">«و سوگند به خداوند که: ما تحقیقاً انسان را از چکیده و عصاره‌اى از گل آفریدیم. و سپس او را نطفه‌اى در قرارگاه استوار و پابرجا قرار دادیم. و پس از آن، این نطفه را خون بسته شده نمودیم. و به‌دنبال آن، این خون بسته شده را قدر لقمه‌اى از گوشت جویده شده کردیم. و به‌دنبال آن، این مقدار از گوشت جویده شکل را استخوان‌ها نمودیم. و به‌دنبال آن، بر روى این استخوان‌ها گوشت پوشانیدیم. سپس او را به آفرینشى دیگر، انشاء و ایجاد کردیم. و بنابراین، مقدّس و منزّه است خداوند که او بهترین آفرینندگان است.»</w:t>
      </w:r>
    </w:p>
  </w:footnote>
  <w:footnote w:id="11">
    <w:p>
      <w:pPr>
        <w:pStyle w:val="FootnoteText"/>
      </w:pPr>
      <w:r>
        <w:rPr>
          <w:rStyle w:val="FootnoteReference"/>
        </w:rPr>
        <w:footnoteRef/>
      </w:r>
      <w:r>
        <w:t xml:space="preserve"> </w:t>
      </w:r>
      <w:r>
        <w:rPr>
          <w:rtl w:val="0"/>
          <w:lang w:val="fa-IR"/>
        </w:rPr>
        <w:t xml:space="preserve">. سوره عمران (٣) آیه ٦.</w:t>
      </w:r>
    </w:p>
    <w:p>
      <w:pPr>
        <w:pStyle w:val="FootnoteText"/>
      </w:pPr>
      <w:r>
        <w:rPr>
          <w:rtl w:val="0"/>
          <w:lang w:val="fa-IR"/>
        </w:rPr>
        <w:t xml:space="preserve">ترجمه: «اوست که شما را در رحم‌ها[ی مادران] به هرگونه که می‌خواهد تصویر می‌کند. جز او هیچ معبودی نیست.» (محقق)</w:t>
      </w:r>
    </w:p>
  </w:footnote>
  <w:footnote w:id="1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الکافى</w:t>
      </w:r>
      <w:r>
        <w:rPr>
          <w:rtl w:val="0"/>
          <w:lang w:val="fa-IR"/>
        </w:rPr>
        <w:t xml:space="preserve">، ج 1، </w:t>
      </w:r>
      <w:r>
        <w:rPr>
          <w:rStyle w:val="Arabi"/>
          <w:rtl w:val="0"/>
          <w:lang w:val="fa-IR"/>
        </w:rPr>
        <w:t xml:space="preserve">باب مجالسة العلماء</w:t>
      </w:r>
      <w:r>
        <w:rPr>
          <w:rtl w:val="0"/>
          <w:lang w:val="fa-IR"/>
        </w:rPr>
        <w:t xml:space="preserve">، ص 39 .</w:t>
      </w:r>
    </w:p>
  </w:footnote>
  <w:footnote w:id="1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روح مجرد،</w:t>
      </w:r>
      <w:r>
        <w:rPr>
          <w:rtl w:val="0"/>
          <w:lang w:val="fa-IR"/>
        </w:rPr>
        <w:t xml:space="preserve"> ص 95 و 500؛ </w:t>
      </w:r>
      <w:r>
        <w:rPr>
          <w:rtl w:val="0"/>
          <w:lang w:val="fa-IR"/>
        </w:rPr>
        <w:t xml:space="preserve">امام شناسى،</w:t>
      </w:r>
      <w:r>
        <w:rPr>
          <w:rtl w:val="0"/>
          <w:lang w:val="fa-IR"/>
        </w:rPr>
        <w:t xml:space="preserve"> ج 15، ص 318.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