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شصت و چهارم</w:t>
      </w:r>
    </w:p>
    <w:p>
      <w:pPr>
        <w:pStyle w:val="Heading5"/>
      </w:pPr>
      <w:r>
        <w:rPr>
          <w:rtl w:val="0"/>
          <w:lang w:val="fa-IR"/>
        </w:rPr>
        <w:t xml:space="preserve">حقیقت زمان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عدم تأثیر حرکت دهری در تغییر و تحول اعیان</w:t>
      </w:r>
    </w:p>
    <w:p>
      <w:pPr/>
      <w:r>
        <w:rPr>
          <w:rtl w:val="0"/>
          <w:lang w:val="fa-IR"/>
        </w:rPr>
        <w:t xml:space="preserve">یک مطلبی که نسبت به مسئلۀ قضاء و قدر و ثبوت حقائق در عالم اعیان و همین‌طور در علم عنائی باقی ماند و رفقا هم به آن تذکر داده بودند عبارت از کیفیت تحقق این اعیان است به‌نحوی‌که حرکت دهری نمی‏تواند تأثیری در تغیر و تحول آنها داشته باشد. خب ما در متون نسبت به مسائل مافوق عالم ماده و خلق داریم: </w:t>
      </w:r>
      <w:r>
        <w:rPr>
          <w:rtl w:val="0"/>
          <w:lang w:val="fa-IR"/>
        </w:rPr>
        <w:t xml:space="preserve">﴿وَإِذۡ قَالَ رَبُّكَ لِلۡمَلَٰٓئِكَةِ إِنِّي جَاعِلٞ فِي ٱلۡأَرۡضِ خَلِيفَةٗ﴾</w:t>
      </w:r>
      <w:r>
        <w:rPr>
          <w:rStyle w:val="FootnoteReference"/>
        </w:rPr>
        <w:footnoteReference w:id="1"/>
      </w:r>
      <w:r>
        <w:rPr>
          <w:rtl w:val="0"/>
          <w:lang w:val="fa-IR"/>
        </w:rPr>
        <w:t xml:space="preserve"> خب این قضیه مربوط به زمان گذشته است. خدا می‌فرماید: </w:t>
      </w:r>
      <w:r>
        <w:rPr>
          <w:rtl w:val="0"/>
          <w:lang w:val="fa-IR"/>
        </w:rPr>
        <w:t xml:space="preserve">﴿وَإِذۡ قَالَ﴾ </w:t>
      </w:r>
      <w:r>
        <w:rPr>
          <w:rtl w:val="0"/>
          <w:lang w:val="fa-IR"/>
        </w:rPr>
        <w:t xml:space="preserve">درحالی‌که </w:t>
      </w:r>
      <w:r>
        <w:rPr>
          <w:rStyle w:val="Arabi"/>
          <w:rtl w:val="0"/>
          <w:lang w:val="fa-IR"/>
        </w:rPr>
        <w:t xml:space="preserve">و إذ یقول</w:t>
      </w:r>
      <w:r>
        <w:rPr>
          <w:rtl w:val="0"/>
          <w:lang w:val="fa-IR"/>
        </w:rPr>
        <w:t xml:space="preserve"> نمی‏فرماید یا </w:t>
      </w:r>
      <w:r>
        <w:rPr>
          <w:rStyle w:val="Arabi"/>
          <w:rtl w:val="0"/>
          <w:lang w:val="fa-IR"/>
        </w:rPr>
        <w:t xml:space="preserve">و إذ هو قائل</w:t>
      </w:r>
      <w:r>
        <w:rPr>
          <w:rtl w:val="0"/>
          <w:lang w:val="fa-IR"/>
        </w:rPr>
        <w:t xml:space="preserve"> در اینجا نیست یا در آیۀ [مربوط به عالم] ذر و ألست </w:t>
      </w:r>
      <w:r>
        <w:rPr>
          <w:rtl w:val="0"/>
          <w:lang w:val="fa-IR"/>
        </w:rPr>
        <w:t xml:space="preserve">﴿وَإِذۡ أَخَذَ رَبُّكَ مِنۢ بَنِيٓ ءَادَمَ مِن ظُهُورِهِمۡ ذُرِّيَّتَهُمۡ وَأَشۡهَدَهُمۡ عَلَىٰٓ أَنفُسِهِمۡ أَلَسۡتُ بِرَبِّكُمۡ قَالُواْ بَلَىٰ شَهِدۡنَآ أَن تَقُولُواْ يَوۡمَ ٱلۡقِيَٰمَةِ إِنَّا كُنَّا عَنۡ هَٰذَا غَٰفِلِينَ﴾</w:t>
      </w:r>
      <w:r>
        <w:rPr>
          <w:rStyle w:val="FootnoteReference"/>
        </w:rPr>
        <w:footnoteReference w:id="2"/>
      </w:r>
      <w:r>
        <w:rPr>
          <w:rtl w:val="0"/>
          <w:lang w:val="fa-IR"/>
        </w:rPr>
        <w:t xml:space="preserve"> باز می‏شود به معنای گذشته مطرح بشود و همین‌طور راجع به سایر مسائل که هست. البته با توجه به همان قاعدۀ نحوی و بلاغی که در نظر رفقا هست در جایی که مستقبل و آینده متحقق الصدور و الثبوت است، تعبیر به زمان گذشته می‏آورند. در سایر لغات هم هست اما در زبان عرب این مسئله به‌عنوان تأکید بر ثبوت و تحقق آن شیء در آنجا مطرح است. لذا شما قضایایی که مربوط به روز قیامت است را همه یا اکثراً با لفظ ماضی می‌بینید؛ </w:t>
      </w:r>
      <w:r>
        <w:rPr>
          <w:rtl w:val="0"/>
          <w:lang w:val="fa-IR"/>
        </w:rPr>
        <w:t xml:space="preserve">﴿إِذَا وَقَعَتِ ٱلۡوَاقِعَةُ </w:t>
      </w:r>
      <w:r>
        <w:rPr>
          <w:rtl w:val="0"/>
          <w:lang w:val="fa-IR"/>
        </w:rPr>
        <w:t xml:space="preserve">* </w:t>
      </w:r>
      <w:r>
        <w:rPr>
          <w:rtl w:val="0"/>
          <w:lang w:val="fa-IR"/>
        </w:rPr>
        <w:t xml:space="preserve">لَيۡسَ لِوَقۡعَتِهَا كَاذِبَةٌ﴾</w:t>
      </w:r>
      <w:r>
        <w:rPr>
          <w:rStyle w:val="FootnoteReference"/>
        </w:rPr>
        <w:footnoteReference w:id="3"/>
      </w:r>
      <w:r>
        <w:rPr>
          <w:rtl w:val="0"/>
          <w:lang w:val="fa-IR"/>
        </w:rPr>
        <w:t xml:space="preserve"> یا </w:t>
      </w:r>
      <w:r>
        <w:rPr>
          <w:rtl w:val="0"/>
          <w:lang w:val="fa-IR"/>
        </w:rPr>
        <w:t xml:space="preserve">﴿فَإِذَا ٱنشَقَّتِ ٱلسَّمَآءُ﴾</w:t>
      </w:r>
      <w:r>
        <w:rPr>
          <w:rStyle w:val="FootnoteReference"/>
        </w:rPr>
        <w:footnoteReference w:id="4"/>
      </w:r>
      <w:r>
        <w:rPr>
          <w:rtl w:val="0"/>
          <w:lang w:val="fa-IR"/>
        </w:rPr>
        <w:t xml:space="preserve"> یا </w:t>
      </w:r>
      <w:r>
        <w:rPr>
          <w:rtl w:val="0"/>
          <w:lang w:val="fa-IR"/>
        </w:rPr>
        <w:t xml:space="preserve">﴿إِذَا ٱلسَّمَآءُ ٱنشَقَّتۡ</w:t>
      </w:r>
      <w:r>
        <w:rPr>
          <w:rtl w:val="0"/>
          <w:lang w:val="fa-IR"/>
        </w:rPr>
        <w:t xml:space="preserve"> * </w:t>
      </w:r>
      <w:r>
        <w:rPr>
          <w:rtl w:val="0"/>
          <w:lang w:val="fa-IR"/>
        </w:rPr>
        <w:t xml:space="preserve">وَأَذِنَتۡ لِرَبِّهَا وَحُقَّتۡ﴾</w:t>
      </w:r>
      <w:r>
        <w:rPr>
          <w:rStyle w:val="FootnoteReference"/>
        </w:rPr>
        <w:footnoteReference w:id="5"/>
      </w:r>
      <w:r>
        <w:rPr>
          <w:rtl w:val="0"/>
          <w:lang w:val="fa-IR"/>
        </w:rPr>
        <w:t xml:space="preserve"> و امثال‌ذلک که همۀ اینها دلالت بر زمان گذشته می‏کند درحالی‌که برحسب جری و عادت، این مسئله اختصاص به زمان مستقبل دارد. هنوز حساب و کتابی نیست. «</w:t>
      </w:r>
      <w:r>
        <w:rPr>
          <w:rStyle w:val="RevayatArabi"/>
          <w:bCs/>
          <w:rtl/>
          <w:lang w:val="fa-IR"/>
        </w:rPr>
        <w:t xml:space="preserve">الیَومَ عَمَلٌ و لا حِسابَ و غَدًا حِسابٌ و لا عَمَل».</w:t>
      </w:r>
      <w:r>
        <w:rPr>
          <w:rStyle w:val="FootnoteReference"/>
        </w:rPr>
        <w:footnoteReference w:id="6"/>
      </w:r>
      <w:r>
        <w:rPr>
          <w:rtl w:val="0"/>
          <w:lang w:val="fa-IR"/>
        </w:rPr>
        <w:t xml:space="preserve"> بحث بحثِ غد است نه‌اینکه بحث گذشته است! ما این تعابیر را مشاهده می‏کنیم.</w:t>
      </w:r>
    </w:p>
    <w:p>
      <w:pPr>
        <w:pStyle w:val="Heading6"/>
      </w:pPr>
      <w:r>
        <w:rPr>
          <w:rtl w:val="0"/>
          <w:lang w:val="fa-IR"/>
        </w:rPr>
        <w:t xml:space="preserve">ثبوت، لازمۀ طبعی زمان گذشته</w:t>
      </w:r>
    </w:p>
    <w:p>
      <w:pPr/>
      <w:r>
        <w:rPr>
          <w:rtl w:val="0"/>
          <w:lang w:val="fa-IR"/>
        </w:rPr>
        <w:t xml:space="preserve">این مطلب وجود دارد که انسان وقتی می‏خواهد از یک امر ثابتی حکایت کند، آن ثبوت را به زمان گذشته حمل می‏کند! لازمۀ طبعی زمان گذشته، ثبوت است و معنا ندارد که شما زمان گذشته‏ای را تصور کنید و یک امر مردد و مشکوکی را در قالب آن بگنجانید ولی نسبت به زمان مستقبل این‌طور نیست؛ در زمان مستقبل می‏توانید امر محتمل الثبوت را قرار بدهید و لازم نیست که حتماً امر محقق الثبوت یا متیقن الثبوت باشد. یا در زمان حال، الآن شما مسائل و اموری را که در زمان حال و در زمان فعل تصور می‏کنید هیچ الزامی نیست بر اینکه آنها محقق باشند! بگویید که الآن در خیابان چنین فردی راه می‏رود، محتمل است که این صادق باشد یا کاذب باشد. یااینکه می‌گویید: محتمل است که یک چنین فردی راه برود، هردو درست است یعنی گنجاندن و ادخال یک امر متیقن یا امر محتمل در زمان حال، هیچ اشکالی ندارد چطور اینکه این مسئله نسبت به زمان آینده هم اشکالی ندارد. ولی در زمان گذشته نمی‏توانید بگویید که محتمل است که زید این کار را کرده باشد، محتمل است یعنی چه؟! این غلط است؛ یعنی غلط از نقطه‌نظر نفسِ احتمال! اشکال ندارد بگویید که محتمل است. محتمل است کرده باشد، معنایش این است که بنده اطلاع ندارم نه‌اینکه نفسِ احتمال در خارج تحقق پیدا کرده است، احتمال که در خارج تحقق پیدا نمی‏کند!</w:t>
      </w:r>
    </w:p>
    <w:p>
      <w:pPr>
        <w:pStyle w:val="Heading6"/>
      </w:pPr>
      <w:r>
        <w:rPr>
          <w:rtl w:val="0"/>
          <w:lang w:val="fa-IR"/>
        </w:rPr>
        <w:t xml:space="preserve">تحقق همیشگی احتمال در نفسِ متحمل</w:t>
      </w:r>
    </w:p>
    <w:p>
      <w:pPr/>
      <w:r>
        <w:rPr>
          <w:rtl w:val="0"/>
          <w:lang w:val="fa-IR"/>
        </w:rPr>
        <w:t xml:space="preserve">احتمال همیشه در نفس متحمل تحقق دارد. اینکه شما می‏گویید: محتمل است که زید دیروز این کار را کرده باشد، معنایش این است که بنده جاهل هستم اما اگر اطلاع داشته باشید، دیگر نباید بگویید که محتمل است این کار را کرده باشد بلکه باید بگویید: این کار را انجام داده یا انجام نداده است. این زمان گذشته است. زمان گذشته برای تأکید در ثبوت آورده می‏شود. نسبت به زمان گذشته و زمان ماضی این حکم، حکم تثبیت شده است و نسبت به زمان آینده و استقبال حکم تثبیت شده‏ای نیست و به همین دلیل است که هیچ‏وقت در مقام انشاء به‌جای </w:t>
      </w:r>
      <w:r>
        <w:rPr>
          <w:rStyle w:val="Arabi"/>
          <w:rtl w:val="0"/>
          <w:lang w:val="fa-IR"/>
        </w:rPr>
        <w:t xml:space="preserve">أنکحتُ</w:t>
      </w:r>
      <w:r>
        <w:rPr>
          <w:rtl w:val="0"/>
          <w:lang w:val="fa-IR"/>
        </w:rPr>
        <w:t xml:space="preserve"> یا </w:t>
      </w:r>
      <w:r>
        <w:rPr>
          <w:rStyle w:val="Arabi"/>
          <w:rtl w:val="0"/>
          <w:lang w:val="fa-IR"/>
        </w:rPr>
        <w:t xml:space="preserve">بِعتُ </w:t>
      </w:r>
      <w:r>
        <w:rPr>
          <w:rtl w:val="0"/>
          <w:lang w:val="fa-IR"/>
        </w:rPr>
        <w:t xml:space="preserve">یا </w:t>
      </w:r>
      <w:r>
        <w:rPr>
          <w:rStyle w:val="Arabi"/>
          <w:rtl w:val="0"/>
          <w:lang w:val="fa-IR"/>
        </w:rPr>
        <w:t xml:space="preserve">صالَحتُ</w:t>
      </w:r>
      <w:r>
        <w:rPr>
          <w:rtl w:val="0"/>
          <w:lang w:val="fa-IR"/>
        </w:rPr>
        <w:t xml:space="preserve">، بگویید که </w:t>
      </w:r>
      <w:r>
        <w:rPr>
          <w:rStyle w:val="Arabi"/>
          <w:rtl w:val="0"/>
          <w:lang w:val="fa-IR"/>
        </w:rPr>
        <w:t xml:space="preserve">اُصالِحُ</w:t>
      </w:r>
      <w:r>
        <w:rPr>
          <w:rtl w:val="0"/>
          <w:lang w:val="fa-IR"/>
        </w:rPr>
        <w:t xml:space="preserve"> یعنی من مصالحه می‏کنم! </w:t>
      </w:r>
      <w:r>
        <w:rPr>
          <w:rStyle w:val="Arabi"/>
          <w:rtl w:val="0"/>
          <w:lang w:val="fa-IR"/>
        </w:rPr>
        <w:t xml:space="preserve">إنّی اُنکِحُکَ </w:t>
      </w:r>
      <w:r>
        <w:rPr>
          <w:rtl w:val="0"/>
          <w:lang w:val="fa-IR"/>
        </w:rPr>
        <w:t xml:space="preserve">یعنی تو را به نکاح درمی‏آورم! گرچه ایراد ندارد که به نکاح درمی‏آورم یک حالت انشائی داشته باشد، اشکالی ندارد! ولی این مسئله از نقطه‌نظر تثبیت و تأکید در انشاء همیشه به جنبۀ ماضی برمی‌گردد. لذا در قضیۀ حضرت موسی و حضرت شعیب که داریم: </w:t>
      </w:r>
      <w:r>
        <w:rPr>
          <w:rtl w:val="0"/>
          <w:lang w:val="fa-IR"/>
        </w:rPr>
        <w:t xml:space="preserve">﴿قَالَ إِنِّيٓ أُرِيدُ أَنۡ أُنكِحَكَ إِحۡدَى ٱبۡنَتَيَّ هَٰتَيۡنِ﴾</w:t>
      </w:r>
      <w:r>
        <w:rPr>
          <w:rStyle w:val="FootnoteReference"/>
        </w:rPr>
        <w:footnoteReference w:id="7"/>
      </w:r>
      <w:r>
        <w:rPr>
          <w:rtl w:val="0"/>
          <w:lang w:val="fa-IR"/>
        </w:rPr>
        <w:t xml:space="preserve"> در اینجا حضرت شعیب در مقام انشاء نبود و فقط در مقام اخبار بود! می‏خواهم که یکی از دختران را که روی دستم مانده بیخ ریش تو بند کنم [به عقدت درآورم] و ببینیم که خدا کدام‏یک را نصیبت می‏کند.</w:t>
      </w:r>
    </w:p>
    <w:p>
      <w:pPr>
        <w:pStyle w:val="Heading6"/>
      </w:pPr>
      <w:r>
        <w:rPr>
          <w:rtl w:val="0"/>
          <w:lang w:val="fa-IR"/>
        </w:rPr>
        <w:t xml:space="preserve">دلیل بخشیده شدن عائشه توسط امیرالمؤمنین علیه‌السّلام در جمل</w:t>
      </w:r>
    </w:p>
    <w:p>
      <w:pPr/>
      <w:r>
        <w:rPr>
          <w:rtl w:val="0"/>
          <w:lang w:val="fa-IR"/>
        </w:rPr>
        <w:t xml:space="preserve">اتفاقاً عجیب است که در قضیۀ جنگ جمل امیرالمؤمنین علیه‌السّلام فرمودند که مثل این قضیه برای وصی حضرت موسی؛ حضرت یوشع بن نون اتفاق افتاد که زن حضرت موسی در مقام جنگ با او برآمد! عین این جریان که عائشه آمد و حضرت او را آزاد کردند و فرمودند:</w:t>
      </w:r>
    </w:p>
    <w:p>
      <w:pPr>
        <w:pStyle w:val="NaghlegholMatn"/>
      </w:pPr>
      <w:r>
        <w:rPr>
          <w:rStyle w:val="RevayatArabi"/>
          <w:rtl w:val="0"/>
          <w:lang w:val="fa-IR"/>
        </w:rPr>
        <w:t xml:space="preserve">وَ أمّا عائِشَةُ فَأدرَکَها رَأیُ النِّساءِ و لَها بَعدَ ذَلکَ حُرمَتُها الأولَى و الحِسابُ عَلَى اللهِ یَعفو عَمَّن یَشاءُ و یُعَذِّبُ مَن یَشا</w:t>
      </w:r>
      <w:r>
        <w:rPr>
          <w:rtl w:val="0"/>
          <w:lang w:val="fa-IR"/>
        </w:rPr>
        <w:t xml:space="preserve">.</w:t>
      </w:r>
      <w:r>
        <w:rPr>
          <w:rStyle w:val="FootnoteReference"/>
        </w:rPr>
        <w:footnoteReference w:id="8"/>
      </w:r>
    </w:p>
    <w:p>
      <w:pPr/>
      <w:r>
        <w:rPr>
          <w:rtl w:val="0"/>
          <w:lang w:val="fa-IR"/>
        </w:rPr>
        <w:t xml:space="preserve">حضرت به‌خاطر احترام به پیغمبر او را آزاد کردند و به مدینه فرستادند. واقعاً چقدر این کار امیرالمؤمنین عجیب است! چقدر ملاحظات دارد و چقدر روی حساب است! عائشه هر کسی هست، هرچه هست، هر کاری که کرده و هر فتنه‌ای که به‌پا کرده است، همین انتساب به رسول خدا و این مدتی که در تحت حبالۀ نکاح رسول خدا بوده است را به‌حساب می‏آورند و می‏فرمایند: «</w:t>
      </w:r>
      <w:r>
        <w:rPr>
          <w:rStyle w:val="RevayatArabi"/>
          <w:rtl w:val="0"/>
          <w:lang w:val="fa-IR"/>
        </w:rPr>
        <w:t xml:space="preserve">الحسابُ عَلی الله</w:t>
      </w:r>
      <w:r>
        <w:rPr>
          <w:rtl w:val="0"/>
          <w:lang w:val="fa-IR"/>
        </w:rPr>
        <w:t xml:space="preserve">!» خیلی عجیب است!</w:t>
      </w:r>
    </w:p>
    <w:p>
      <w:pPr>
        <w:pStyle w:val="Heading6"/>
      </w:pPr>
      <w:r>
        <w:rPr>
          <w:rtl w:val="0"/>
          <w:lang w:val="fa-IR"/>
        </w:rPr>
        <w:t xml:space="preserve">خارج کردن عائشه از أم‌المؤمنین بودن توسط امام حسین علیه‌السّلام!</w:t>
      </w:r>
    </w:p>
    <w:p>
      <w:pPr/>
      <w:r>
        <w:rPr>
          <w:rtl w:val="0"/>
          <w:lang w:val="fa-IR"/>
        </w:rPr>
        <w:t xml:space="preserve">یک جایی می‏خواندم که [امیرالمؤمنین علیه‌السّلام] حضرت امام حسن علیه‌السّلام را سراغ عائشه فرستادند و گفتند که به او بگو که اگر دست برنداری، آنچه را که رسول خدا به من تفویض کرده است دربارۀ تو اعمال می‏کنم! وقتی این حرف را می‏زنند که ظاهراً بعد از جنگ بوده است چون بالأخره جنگ انجام شد. می‌فرمایند که اگر دست برنداری و دوباره در خانه‏ات ننشینی و مشغول فتنه بشوی، [این کار را انجام می‌دهم]! بساطی که به‌پا کردی دیگر بس است و کافی است حالا ما هم تو را روانۀ مدینه می‏کنیم، دیگر برو در خانه‏ات بنشین! از قرائن این‏طور برمی‏آید چون عائشه دیگر هیچ نگفت و خیلی مضطرب شد و حرفی نزد و پذیرفت که دیگر به مدینه برود. بعد آنهایی که آنجا بودند از او سؤال کردند که چطور شد که وقتی حسن بن علی علیه‌السّلام آمد و این حرف را زد، آن‌قدر مضطرب شدی و وضعت به‌هم ریخت؟! گفت که رسول خدا در جلوی من به علی فرمود که من امر طلاق زنان خودم را در دست تو قرار دادم. اگر یکی از آنها از مشی و مرام من تخطی کرد، تو حق داری که پس از من او را از حبالۀ استمرار نکاح من خارج کنی.</w:t>
      </w:r>
      <w:r>
        <w:rPr>
          <w:rStyle w:val="FootnoteReference"/>
        </w:rPr>
        <w:footnoteReference w:id="9"/>
      </w:r>
    </w:p>
    <w:p>
      <w:pPr/>
      <w:r>
        <w:rPr>
          <w:rtl w:val="0"/>
          <w:lang w:val="fa-IR"/>
        </w:rPr>
        <w:t xml:space="preserve">این عجیب است! لذا به‌خاطر همین جهت داریم: </w:t>
      </w:r>
      <w:r>
        <w:rPr>
          <w:rtl w:val="0"/>
          <w:lang w:val="fa-IR"/>
        </w:rPr>
        <w:t xml:space="preserve">﴿يَٰنِسَآءَ ٱلنَّبِيِّ لَسۡتُنَّ كَأَحَدٖ مِّنَ ٱلنِّسَآءِ إِنِ ٱتَّقَيۡتُنَّ﴾</w:t>
      </w:r>
      <w:r>
        <w:rPr>
          <w:rtl w:val="0"/>
          <w:lang w:val="fa-IR"/>
        </w:rPr>
        <w:t xml:space="preserve"> مسئله این است که حتی بعد از زمان پیغمبر هم این‏طور نبوده است که اینها بخواهند عدّه نگه دارند و بروند ازدواج کنند بلکه معلوم می‏شود که علقۀ نکاح بعد از فوت پیغمبر هم باقی مانده و این مسئله فقط صرف یک احترام نبوده است که حالا به‌خاطر احترام پیغمبر این مطلب باشد بلکه این یکی از اختصاصات خودِ رسول‌الله بوده است که ازدواج با زنان پیغمبر بعد از رسول‌الله حرام بوده و این حرمت یک حرمت شرعی بوده است و حرمت شرعی که بی‏جهت نیست و حالا [فقط] به صرف احترام پیغمبر نبوده است، خب همه احترام دارند! مگر امیرالمؤمنین علیه‌السّلام احترام نداشت؟! چطور حضرت قبل از فوت به بعضی از زن‌ها وصیت کردند که معاویه به سراغ شما خواهد آمد ولکن ازدواج نکنید و با شخص دیگری ازدواج کنید و همین‌طور هم انجام شد.</w:t>
      </w:r>
      <w:r>
        <w:rPr>
          <w:rStyle w:val="FootnoteReference"/>
        </w:rPr>
        <w:footnoteReference w:id="10"/>
      </w:r>
      <w:r>
        <w:rPr>
          <w:rtl w:val="0"/>
          <w:lang w:val="fa-IR"/>
        </w:rPr>
        <w:t xml:space="preserve"> این مسئله همان مسئلۀ استمرار نکاح است که چطور بعد از رسول خدا این قضیه استمرار دارد و عجیب اینجاست که امام حسن علیه‌السّلام هم این مسئله را هم انجام ندادند ولی وقتی که این زن و این جناب عائشۀ أم‌المؤمنین دستور داد که جنازۀ امام حسن را تیرباران کنند،</w:t>
      </w:r>
      <w:r>
        <w:rPr>
          <w:rStyle w:val="FootnoteReference"/>
        </w:rPr>
        <w:footnoteReference w:id="11"/>
      </w:r>
      <w:r>
        <w:rPr>
          <w:rtl w:val="0"/>
          <w:lang w:val="fa-IR"/>
        </w:rPr>
        <w:t xml:space="preserve"> [سیدالشهدا علیه‌السّلام] او را طلاق داد! به زن‏های پیغمبر أم‌المؤمنین می‏گفتند؛ </w:t>
      </w:r>
      <w:r>
        <w:rPr>
          <w:rtl w:val="0"/>
          <w:lang w:val="fa-IR"/>
        </w:rPr>
        <w:t xml:space="preserve">﴿وَأَزۡوَٰجُهُۥٓ أُمَّهَٰتُهُمۡ﴾</w:t>
      </w:r>
      <w:r>
        <w:rPr>
          <w:rStyle w:val="FootnoteReference"/>
        </w:rPr>
        <w:footnoteReference w:id="12"/>
      </w:r>
      <w:r>
        <w:rPr>
          <w:rtl w:val="0"/>
          <w:lang w:val="fa-IR"/>
        </w:rPr>
        <w:t xml:space="preserve"> ـ</w:t>
      </w:r>
      <w:r>
        <w:rPr>
          <w:rtl w:val="0"/>
          <w:lang w:val="fa-IR"/>
        </w:rPr>
        <w:t xml:space="preserve"> این جناب سپهبد عائشه! خب تا آن موقع درجه گرفته بود؛ اگر در جنگ جمل سرهنگ یا سرتیپ بود، طبعاً در زمان امام حسن سرلشگر شده بود و در زمان امام حسین سپهبد شده بود! جناب سپهبد خان دستور تیرباران جنازۀ امام حسن را می‏دهد! عجیب است! آدم به کجا می‏رسد و به چه مرحله‏ای می‏رسد؟! انسان به این مرتبه از شقاوت و قساوت می‏رسد که دستور تیرباران پسر رسول خدا را می‏دهد! جنازۀ بی‏جان! جنازه‏ای که دارند می‏برند دفن کنند! در آنجا بود که سیدالشهداء او را طلاق داد! در روایات داریم که حضرت فرستادند و پیغام دادند که آنچه که رسول خدا در جلوی خودت به علی علیه‌السّلام پدرم واگذار کرد و فرمود که تو بعد از خودت به اولاد خودت واگذار کن، لذا علی پدر من به برادر من حسن سپرده بود و برادرم حسن، اختیار آن را به من داد و من اکنون تو را طلاق دادم! این نصّ روایت است که سیدالشهداء این سپهبد خان عائشه را طلاق داد و دیگر از تحت امهات المؤمنین خارج شد.</w:t>
      </w:r>
    </w:p>
    <w:p>
      <w:pPr/>
      <w:r>
        <w:rPr>
          <w:rtl w:val="0"/>
          <w:lang w:val="fa-IR"/>
        </w:rPr>
        <w:t xml:space="preserve">علیٰ‌کلّ‌حال در همین قضیه داریم که امیرالمؤمنین علیه‌السّلام می‏فرمایند که آن جریانی که برای برادرم وصی موسی پیش آمد، عین آن </w:t>
      </w:r>
      <w:r>
        <w:rPr>
          <w:rStyle w:val="Arabi"/>
          <w:rtl w:val="0"/>
          <w:lang w:val="fa-IR"/>
        </w:rPr>
        <w:t xml:space="preserve">طابق النعل بالنعل</w:t>
      </w:r>
      <w:r>
        <w:rPr>
          <w:rtl w:val="0"/>
          <w:lang w:val="fa-IR"/>
        </w:rPr>
        <w:t xml:space="preserve"> برای من پیش آمد.</w:t>
      </w:r>
      <w:r>
        <w:rPr>
          <w:rStyle w:val="FootnoteReference"/>
        </w:rPr>
        <w:footnoteReference w:id="13"/>
      </w:r>
      <w:r>
        <w:rPr>
          <w:rtl w:val="0"/>
          <w:lang w:val="fa-IR"/>
        </w:rPr>
        <w:t xml:space="preserve"> خب آنجا در قضیۀ ازدواج داریم: </w:t>
      </w:r>
      <w:r>
        <w:rPr>
          <w:rtl w:val="0"/>
          <w:lang w:val="fa-IR"/>
        </w:rPr>
        <w:t xml:space="preserve">﴿قَالَ إِنِّيٓ أُرِيدُ أَنۡ أُنكِحَكَ إِحۡدَى ٱبۡنَتَيَّ هَٰتَيۡنِ﴾</w:t>
      </w:r>
      <w:r>
        <w:rPr>
          <w:rStyle w:val="FootnoteReference"/>
        </w:rPr>
        <w:footnoteReference w:id="14"/>
      </w:r>
      <w:r>
        <w:rPr>
          <w:rtl w:val="0"/>
          <w:lang w:val="fa-IR"/>
        </w:rPr>
        <w:t xml:space="preserve"> من می‏خواهم! مقام مقام انشاء نیست بلکه مقام اخبار است. من می‏خواهم این کار را انجام بدهم! ولی وقتی که شما بخواهید صیغۀ نکاح بخوانید می‏گویید: </w:t>
      </w:r>
      <w:r>
        <w:rPr>
          <w:rStyle w:val="Arabi"/>
          <w:rtl w:val="0"/>
          <w:lang w:val="fa-IR"/>
        </w:rPr>
        <w:t xml:space="preserve">أنکحُ موکلتی لِموکلی علی الصّداق</w:t>
      </w:r>
      <w:r>
        <w:rPr>
          <w:rtl w:val="0"/>
          <w:lang w:val="fa-IR"/>
        </w:rPr>
        <w:t xml:space="preserve"> یا </w:t>
      </w:r>
      <w:r>
        <w:rPr>
          <w:rStyle w:val="Arabi"/>
          <w:rtl w:val="0"/>
          <w:lang w:val="fa-IR"/>
        </w:rPr>
        <w:t xml:space="preserve">أنکح موکلی لموکلتی</w:t>
      </w:r>
      <w:r>
        <w:rPr>
          <w:rtl w:val="0"/>
          <w:lang w:val="fa-IR"/>
        </w:rPr>
        <w:t xml:space="preserve">، هردو را بخوانید که هم جانب تأنیث مقدم باشد و هم جانب تذکیر مقدم باشد، از باب احتیاط بهتر است که [این‌طور] قرائت بشود. می‏گویید: </w:t>
      </w:r>
      <w:r>
        <w:rPr>
          <w:rStyle w:val="Arabi"/>
          <w:rtl w:val="0"/>
          <w:lang w:val="fa-IR"/>
        </w:rPr>
        <w:t xml:space="preserve">أنکحتُ</w:t>
      </w:r>
      <w:r>
        <w:rPr>
          <w:rtl w:val="0"/>
          <w:lang w:val="fa-IR"/>
        </w:rPr>
        <w:t xml:space="preserve">، </w:t>
      </w:r>
      <w:r>
        <w:rPr>
          <w:rStyle w:val="Arabi"/>
          <w:rtl w:val="0"/>
          <w:lang w:val="fa-IR"/>
        </w:rPr>
        <w:t xml:space="preserve">أنکحتُ</w:t>
      </w:r>
      <w:r>
        <w:rPr>
          <w:rtl w:val="0"/>
          <w:lang w:val="fa-IR"/>
        </w:rPr>
        <w:t xml:space="preserve"> یعنی تثبیت! یعنی این مسئله تثبیت شده است، این مسئله ثابت شده است.</w:t>
      </w:r>
    </w:p>
    <w:p>
      <w:pPr>
        <w:pStyle w:val="Heading6"/>
      </w:pPr>
      <w:r>
        <w:rPr>
          <w:rtl w:val="0"/>
          <w:lang w:val="fa-IR"/>
        </w:rPr>
        <w:t xml:space="preserve">علت تعبیر به ماضی آوردن در قضیۀ عالم قضاء و قدر</w:t>
      </w:r>
    </w:p>
    <w:p>
      <w:pPr/>
      <w:r>
        <w:rPr>
          <w:rtl w:val="0"/>
          <w:lang w:val="fa-IR"/>
        </w:rPr>
        <w:t xml:space="preserve">لذا اینجا متوجه می‏شویم که چرا خداوند در قضیۀ عالم قضاء و قدر تعبیر به ماضی آورده است؟! تعبیر به ماضی حکایت از دور و گذشته نمی‏کند بلکه حکایت از ثبوت مقام قضاء و قدر می‌کند؛ هم مقام مشیت کلی و هم مقام مشیت جزئیه. یعنی وقتی مشیت کلیه قالب پیدا می‏کند و جزئی می‏شود، به آن مقام قدر گفته می‏شود. آن مسئله مسئلۀ ثبوت است، یعنی این تثبیت شده است و این مسئله، مسئلۀ ثابت است اما اینکه یک مرحله‏ای در زمان گذشته و در دور گذشته و در اطوار گذشته بوده باشد و در اطوار بعد نباشد و سپس تحقق پیدا کند با مطالبی که تابه‌حال خدمت رفقا عرض کردیم منافات دارد و این دیگر با آنها جور درنمی‏آید! اگر ما قائل به مقام ثبوت برای اعیان خارجی هستیم که از آن تعبیر به مقام مشیت جزئیه و عالم قدر می‏شود، [با آنها جور درنمی‌آید] چون اعیان خارجی همان مسئلۀ قدر است چه عین تحقق شیء باشد و چه اطواری که بر آن تحقق شیء تعلق می‏گیرد، در هردو مسئله، مسئلۀ عالم قدر است. خود مشیت خلق انسان، مشیت کلیه می‏شود که عالم قضاء است. بعد خلقت زید یک مرتبه پایین‏تر می‏شود، آن خلقت به چه صورت باشد یک مرتبه پایین‏تر می‏شود.</w:t>
      </w:r>
    </w:p>
    <w:p>
      <w:pPr>
        <w:pStyle w:val="Heading6"/>
      </w:pPr>
      <w:r>
        <w:rPr>
          <w:rtl w:val="0"/>
          <w:lang w:val="fa-IR"/>
        </w:rPr>
        <w:t xml:space="preserve">عالم قدر یعنی همان تحقق خارجی</w:t>
      </w:r>
    </w:p>
    <w:p>
      <w:pPr/>
      <w:r>
        <w:rPr>
          <w:rtl w:val="0"/>
          <w:lang w:val="fa-IR"/>
        </w:rPr>
        <w:t xml:space="preserve">وقتی که زید متولد شد آن‏وقت عالم قدر می‏شود پس عالم قدر یعنی همان تحقق خارجی؛ همان‌که دارید در خارج می‌بینید! همین‌که دارید می‌بینید راه می‏رود! همین‌که دارد غذا می‏خورد! همین‌که می‌بینید دارد صحبت می‏کند! همین‌که می‌بینید دارد می‏نویسد! همۀ اینها عالم قدر می‌شود. نه‌اینکه عالم قدر یک عالم و یک جا و یک قسمی است که از آن اطلاع نداریم و اسمش عالم قدر است! قدر یعنی اندازه، اندازۀ آن مشیت کلی که عبارت از همان ظهور و بروز و تعین خارجی اشیاء است! چه انسان، چه حیوانات، چه مادیات و چه عقول مجردات، همۀ اینها وقتی که به مرتبۀ قدر برسند به آنها عالم مشیت جزئیه گفته می‏شود.</w:t>
      </w:r>
    </w:p>
    <w:p>
      <w:pPr>
        <w:pStyle w:val="Heading6"/>
      </w:pPr>
      <w:r>
        <w:rPr>
          <w:rtl w:val="0"/>
          <w:lang w:val="fa-IR"/>
        </w:rPr>
        <w:t xml:space="preserve">دلیل تحقق قدر</w:t>
      </w:r>
    </w:p>
    <w:p>
      <w:pPr/>
      <w:r>
        <w:rPr>
          <w:rtl w:val="0"/>
          <w:lang w:val="fa-IR"/>
        </w:rPr>
        <w:t xml:space="preserve">بنابراین هرجا دیدید که تعیّن خارجی هست بدانید در آنجا قدر تحقق پیدا کرده است و هرجا دیدید که هنوز تعیّن خارجی نیست بدانید در آنجا احتمال قضاء کلی است، قضاء کلی که هنوز به قدر جزئی متبدل و متحول نشده است. پس همۀ ما‌‌سوی‌الله عالم قدر می‌شود، هرچه غیر خدا هست! البته نه در عالم اسماء کلیه و صفات کلیه!</w:t>
      </w:r>
    </w:p>
    <w:p>
      <w:pPr/>
      <w:r>
        <w:rPr>
          <w:rtl w:val="0"/>
          <w:lang w:val="fa-IR"/>
        </w:rPr>
        <w:t xml:space="preserve">بنابراین اینکه در آیات قرآن مشاهده می‏کنید که تعبیر می‏آورند: </w:t>
      </w:r>
      <w:r>
        <w:rPr>
          <w:rtl w:val="0"/>
          <w:lang w:val="fa-IR"/>
        </w:rPr>
        <w:t xml:space="preserve">﴿وَإِذۡ قَالَ رَبُّكَ لِلۡمَلَٰٓئِكَةِ إِنِّي جَاعِلٞ فِي ٱلۡأَرۡضِ خَلِيفَةٗ﴾</w:t>
      </w:r>
      <w:r>
        <w:rPr>
          <w:rStyle w:val="FootnoteReference"/>
        </w:rPr>
        <w:footnoteReference w:id="15"/>
      </w:r>
      <w:r>
        <w:rPr>
          <w:rtl w:val="0"/>
          <w:lang w:val="fa-IR"/>
        </w:rPr>
        <w:t xml:space="preserve"> در زمان گذشته گفت! این به عالم ثابت و عالم تحقق خارجی مربوط می‏شود. </w:t>
      </w:r>
      <w:r>
        <w:rPr>
          <w:rtl w:val="0"/>
          <w:lang w:val="fa-IR"/>
        </w:rPr>
        <w:t xml:space="preserve">﴿إِذۡ قَالَ﴾</w:t>
      </w:r>
      <w:r>
        <w:rPr>
          <w:rtl w:val="0"/>
          <w:lang w:val="fa-IR"/>
        </w:rPr>
        <w:t xml:space="preserve"> یعنی </w:t>
      </w:r>
      <w:r>
        <w:rPr>
          <w:rStyle w:val="Arabi"/>
          <w:rtl w:val="0"/>
          <w:lang w:val="fa-IR"/>
        </w:rPr>
        <w:t xml:space="preserve">إذ هو قائلٌ</w:t>
      </w:r>
      <w:r>
        <w:rPr>
          <w:rtl w:val="0"/>
          <w:lang w:val="fa-IR"/>
        </w:rPr>
        <w:t xml:space="preserve">، الآن می‌گوید! </w:t>
      </w:r>
      <w:r>
        <w:rPr>
          <w:rtl w:val="0"/>
          <w:lang w:val="fa-IR"/>
        </w:rPr>
        <w:t xml:space="preserve">﴿وَإِذۡ قَالَ رَبُّكَ لِلۡمَلَٰٓئِكَةِ﴾ </w:t>
      </w:r>
      <w:r>
        <w:rPr>
          <w:rtl w:val="0"/>
          <w:lang w:val="fa-IR"/>
        </w:rPr>
        <w:t xml:space="preserve">یعنی همین الآن! یعنی الآن خدا به ملائکه این حرف را می‏زند و دیروز این حرف را زده و فردا هم خواهد زد! یک امر ثابت مستمر که از یک مبدأ شروع می‏شود و همین‌طور ادامه پیدا می‏کند. از این امر ثابت تعبیر به ماضی می‏کنند که دلالت بر ثبوت می‏کند، این امر ثابت می‏شود.</w:t>
      </w:r>
    </w:p>
    <w:p>
      <w:pPr/>
      <w:r>
        <w:rPr>
          <w:rtl w:val="0"/>
          <w:lang w:val="fa-IR"/>
        </w:rPr>
        <w:t xml:space="preserve">حالا این امر ثابت خلقت آدم باشد، خلقت جن باشد، عالم عهد و عالم ألست باشد </w:t>
      </w:r>
      <w:r>
        <w:rPr>
          <w:rtl w:val="0"/>
          <w:lang w:val="fa-IR"/>
        </w:rPr>
        <w:t xml:space="preserve">﴿وَإِذۡ أَخَذَ رَبُّكَ مِنۢ بَنِيٓ ءَادَمَ مِن ظُهُورِهِمۡ ذُرِّيَّتَهُمۡ وَأَشۡهَدَهُمۡ عَلَىٰٓ أَنفُسِهِمۡ أَلَسۡتُ بِرَبِّكُمۡ قَالُواْ بَلَىٰ شَهِدۡنَآ أَن تَقُولُواْ يَوۡمَ ٱلۡقِيَٰمَةِ إِنَّا كُنَّا عَنۡ هَٰذَا غَٰفِلِينَ﴾</w:t>
      </w:r>
      <w:r>
        <w:rPr>
          <w:rStyle w:val="FootnoteReference"/>
        </w:rPr>
        <w:footnoteReference w:id="16"/>
      </w:r>
      <w:r>
        <w:rPr>
          <w:rtl w:val="0"/>
          <w:lang w:val="fa-IR"/>
        </w:rPr>
        <w:t xml:space="preserve"> همۀ اینها نفس تحقق خارجی عالم قدر می‌شود نه عالم قضاء کلی! این عالم، عالم قدر می‏شود.</w:t>
      </w:r>
    </w:p>
    <w:p>
      <w:pPr/>
      <w:r>
        <w:rPr>
          <w:rtl w:val="0"/>
          <w:lang w:val="fa-IR"/>
        </w:rPr>
        <w:t xml:space="preserve">این مسئله به‌خاطر تحقق خارجی است که از او تعبیر به ماضی می‏آورند والاّ عالم ألست چیست؟ همین الآن است! همین الآن که من دارم با شما صحبت می‏کنم، عالم ألست است! سابق و لاحق و حالی وجود ندارد! آنچه که هست، ثبوت است یعنی واقعیت است! بله، آن ثبوت نسبت به ما جنبۀ ماضی پیدا می‏کند. آن ثبوت نسبت به کسی که خودش در ثبوت است جنبۀ حال دارد و دیگر جنبۀ گذشته و آینده ندارد. پس خود ثبوت نسبت به افراد است که دارای حالات مختلفی خواهد شد. ما وقتی که الآن در یک هم‌چنین وضعی هستیم، خب طبعاً یک گذشته‏ای را درنظر می‏گیریم؛ نبودیم و کوچک بودیم و پنج‌ساله، چهار‌ساله، سه‌ساله، دو‌ساله و یک‌ساله و بعد هم در اصلاب آباء و امهات و اینها بودیم! این سیر تحول ما بوده است. خب قبل از این چه بوده است؟ روح بوده است. این روح کجا بوده است؟ این روح در عالم ألست بوده است. اینها چیزهایی است که ما همین‌طور اینها را نسبت به خود و نسبت به نفس و روح درنظر می‏گیریم. چرا؟ برای اینکه ما در ثابتات نیستیم و وجود و حضور خود را در ثابتات احساس نمی‏کنیم. اما وقتی که شما آمدید و حرکت کردید و صعود و عروج روحانی پیدا کردید و خودتان را نسبت به ثابتات بالا بردید [دیگر این‌طور نیست] اما تا وقتی که این چشم را داریم و تا وقتی که این گوش را داریم، مشمول قانون زمان و مکان و ماده هستیم! گذشته را داریم و آینده را داریم و در این‌هم شکی نیست ولی وقتی که ما از این گوش و چشم عبور کردیم ـ همان‌طوری‌که این مبانی سابقاً تحلیل شد و تفسیر و توضیح داده شد ـ در آنجا افق جدیدی برای ما باز خواهد شد نه‌اینکه خلق خواهد شد! خلق نشده است بلکه آن افق برای ما باز می‏شود و فتح باب افق جدید برای ما می‏شود و آنجا می‏بینیم عجب! همه چیز بوده است و چیزی مخفی نیست! حتی همۀ چیزها را احساس می‏کنیم؛ هرچه که قبلاً بوده است احساس می‏کنیم و هرچه که بعداً هم هست احساس می‏کنیم! در عین اینکه احساس می‏کنیم که این امر یک امری است که تغییر و تحولات بعدی دارد ولی صاف با او صحبت می‏کنیم و صاف با او حرف می‏زنیم!</w:t>
      </w:r>
    </w:p>
    <w:p>
      <w:pPr>
        <w:pStyle w:val="Heading6"/>
      </w:pPr>
      <w:r>
        <w:rPr>
          <w:rtl w:val="0"/>
          <w:lang w:val="fa-IR"/>
        </w:rPr>
        <w:t xml:space="preserve">تبیین کلام امیرالمؤمنین در خصوص بودن ایشان در کنار پیامبران گذشته</w:t>
      </w:r>
    </w:p>
    <w:p>
      <w:pPr/>
      <w:r>
        <w:rPr>
          <w:rtl w:val="0"/>
          <w:lang w:val="fa-IR"/>
        </w:rPr>
        <w:t xml:space="preserve">اینجا دیگر خیلی مسائل عجیب است که امیرالمؤمنین علیه‌السّلام در آن خطبه عجیب می‏فرماید:</w:t>
      </w:r>
    </w:p>
    <w:p>
      <w:pPr>
        <w:pStyle w:val="NaghlegholMatn"/>
      </w:pPr>
      <w:r>
        <w:rPr>
          <w:rtl w:val="0"/>
          <w:lang w:val="fa-IR"/>
        </w:rPr>
        <w:t xml:space="preserve">من با ابراهیم بودم در آن ‌وقتی که او را در آتش انداختند و با نوح بودم در آن ‌وقتی که سوار بر کشتی شد و با موسی بودم در آن‌ وقتی که به‌سمت فرعون آمد و از دریا عبور کرد!</w:t>
      </w:r>
      <w:r>
        <w:rPr>
          <w:rStyle w:val="FootnoteReference"/>
        </w:rPr>
        <w:footnoteReference w:id="17"/>
      </w:r>
    </w:p>
    <w:p>
      <w:pPr/>
      <w:r>
        <w:rPr>
          <w:rtl w:val="0"/>
          <w:lang w:val="fa-IR"/>
        </w:rPr>
        <w:t xml:space="preserve">دیگر روشن می‏شود که معنای من بودم چیست! حضرت شوخی و مزاح می‏کرد یا واقعیت داشته است؟! من با آنها بودم، حالا لازم نیست که خود آنها هم این را احساس بکنند این مسئله لازم نیست! این یک واقعیتی است که آن واقعیت به ادراک مدرِک برمی‌گردد و دلیلی ندارد که خود شخص و خود فرد این را احساس کند؛ ممکن است احساس بکند و ممکن است احساس نکند و صرفاً ببیند که یک قضیه‏ای انجام می‏شود! اما این قضیه از کجا آب می‏خورد؟! این مسئله از کجا تحقق پیدا می‏کند؟! این بسته به میزان افق خود آن شخص است که آن را بفهمد!</w:t>
      </w:r>
    </w:p>
    <w:p>
      <w:pPr/>
      <w:r>
        <w:rPr>
          <w:rtl w:val="0"/>
          <w:lang w:val="fa-IR"/>
        </w:rPr>
        <w:t xml:space="preserve">آن‏وقت در اینجا بعضی از مطالبی که بزرگان در کتاب‏هایشان نوشته‏اند [روشن می‌شود]؛</w:t>
      </w:r>
    </w:p>
    <w:p>
      <w:pPr/>
      <w:r>
        <w:rPr>
          <w:rtl w:val="0"/>
          <w:lang w:val="fa-IR"/>
        </w:rPr>
        <w:t xml:space="preserve">مثلاً یکی از بزرگان در قبرستان آمده بود و گفته بود که شنیده بودم که بعضی‏ها اینجا می‏آمدند و تصور بر این بوده که اینها یک حال‌وهوایی را از خود این قبرستان و افرادی که در این قبرستان هستند احساس می‏کردند ولی الآن مسئله منکشف می‏شود که این مطالب از قبل بوده است!</w:t>
      </w:r>
      <w:r>
        <w:rPr>
          <w:rStyle w:val="FootnoteReference"/>
        </w:rPr>
        <w:footnoteReference w:id="18"/>
      </w:r>
      <w:r>
        <w:rPr>
          <w:rtl w:val="0"/>
          <w:lang w:val="fa-IR"/>
        </w:rPr>
        <w:t xml:space="preserve"> حالا آن بزرگ خودش بعد آمده است ولی این از آن اول بوده است! اگر نبوده پس چطور او می‏آمده است؟! پس معلوم می‏شود بوده است، اگر نبوده خب نبوده است. گفتیم که عدم عدم است، فرقی نمی‏کند. وقتی یک امر عدمی است، </w:t>
      </w:r>
      <w:r>
        <w:rPr>
          <w:rStyle w:val="Arabi"/>
          <w:rtl w:val="0"/>
          <w:lang w:val="fa-IR"/>
        </w:rPr>
        <w:t xml:space="preserve">العدمُ لا یُخبَر عنه و لا یخبر به</w:t>
      </w:r>
      <w:r>
        <w:rPr>
          <w:rtl w:val="0"/>
          <w:lang w:val="fa-IR"/>
        </w:rPr>
        <w:t xml:space="preserve">! نه خودش موضوع واقع می‏شود و نه محمول، هیچ‌کدام! خدا هم نمی‏تواند از یک امر عدمی خبر بدهد چه برسد به بندگان خدا! چون عدم عدم است و هیچ فرقی بین عدم زید و عدم کلی نیست چون هردو دلالت بر نبود است. نبود نبود است، دیگر چه چیزی هست؟ اضافۀ به یک ماهیت که به آن عدم هستی نمی‌دهد بلکه فقط آن عدم را محدود می‏کند. بله! آن عدم نسبت به یک ماهیت محدود می‏شود، خب بشود. محدود شدن آن عدم و عدم تسری آن عدم به سایر ماهیات معدومه دلیلی بر اکتساب حصه‏ای از وجود ندارد. آن عدم در هرجا که صادق باشد؛ چه شما عدم را عدم کلی فرض کنید یا آن عدم را عدم یک ماهیت خیلی مهم فرض کنید یا عدم را عدم این حجر فرض کنید، تمام اینها یک مطلب را ارائه می‏دهند و آن </w:t>
      </w:r>
      <w:r>
        <w:rPr>
          <w:rStyle w:val="Arabi"/>
          <w:rtl w:val="0"/>
          <w:lang w:val="fa-IR"/>
        </w:rPr>
        <w:t xml:space="preserve">عدم الشیء</w:t>
      </w:r>
      <w:r>
        <w:rPr>
          <w:rtl w:val="0"/>
          <w:lang w:val="fa-IR"/>
        </w:rPr>
        <w:t xml:space="preserve"> است و هیچ تفاوتی ندارد! حالا خود شیء که تعلق پیدا کرده است، هرچه هست بماند.</w:t>
      </w:r>
    </w:p>
    <w:p>
      <w:pPr/>
      <w:r>
        <w:rPr>
          <w:rtl w:val="0"/>
          <w:lang w:val="fa-IR"/>
        </w:rPr>
        <w:t xml:space="preserve">اگر این امر و اثر نبود پس آن بزرگان به‌دنبال چه می‏آمدند؟! نبوده است دیگر! پس معلوم می‏شود بوده است! اینکه بوده درحالی‌که هنوز آن وجود عنصری در آنجا نیامده است، در اینجا چه معنا دارد؟! معنایش این است که آن وجود عنصری بعد که در آنجا می‌آید، یک امر ثابت است گرچه ما الآن نمی‏دانیم. اگر آن کسانی که می‏آمدند در همان موقع چشمشان باز شده بود، این را هم می‏دیدند و متوجه می‏شدند! ولی حالا خواست خداست، عدم قدرت است، عدم توان است، حالات مختلف است یا حالا هرچه هست، این را نمی‏بیند و تصور نمی‏کند و خیال می‏کند که مسئله از یک جای دیگر است و منشأ این نور و حال‌وهوا یک مطلب دیگر است! همۀ اینها شواهد بر این است که ما به این قضیه برسیم که در عالم وجود ماضی و مستقبل و حالی وجود ندارد بلکه آنچه که قدر الهی به آن تعلق می‏گیرد و در ظرف قدر از مقام مشیت کلیه تنازل پیدا می‏کند، </w:t>
      </w:r>
      <w:r>
        <w:rPr>
          <w:rStyle w:val="Arabi"/>
          <w:rtl w:val="0"/>
          <w:lang w:val="fa-IR"/>
        </w:rPr>
        <w:t xml:space="preserve">أمرٌ ثابتٌ لیس له ماضٍ و لا حالٌ و لا استقبالٌ</w:t>
      </w:r>
      <w:r>
        <w:rPr>
          <w:rtl w:val="0"/>
          <w:lang w:val="fa-IR"/>
        </w:rPr>
        <w:t xml:space="preserve">! آن امر، امر ثابت می‏شود و آن امر در علم عنائی حق وجود دارد. پس این علم عنائی حق با ذات حق و متصل به ذات حق است به‌واسطۀ آن علم لاینفک و ذاتی است که مخصوص به ذات است. آن علم لاینفک ذات مساوق با ذات است منتها در مرتبۀ علیت، نه در رتبه! همیشه گفتیم که در رتبه، ذات بر علم و قدرت مقدم است و ذات حق تعالی فقط با یک مسئله یا دو مسئله تساوی دارد؛ یکی با مسئلۀ حیات است که نفس تصور ذات </w:t>
      </w:r>
      <w:r>
        <w:rPr>
          <w:rStyle w:val="Arabi"/>
          <w:rtl w:val="0"/>
          <w:lang w:val="fa-IR"/>
        </w:rPr>
        <w:t xml:space="preserve">مساوقٌ لِتصورِ الحیاةِ و البقاء</w:t>
      </w:r>
      <w:r>
        <w:rPr>
          <w:rtl w:val="0"/>
          <w:lang w:val="fa-IR"/>
        </w:rPr>
        <w:t xml:space="preserve">، یکی این است و یکی هم مسئلۀ وحدت اطلاقی و هویت اطلاقی است که در آنجا مقام توحید اطلاقی حق مساوی با نفس ذات است و غیر از آن مقام واحدیت است. مقام احدیت </w:t>
      </w:r>
      <w:r>
        <w:rPr>
          <w:rStyle w:val="Arabi"/>
          <w:rtl w:val="0"/>
          <w:lang w:val="fa-IR"/>
        </w:rPr>
        <w:t xml:space="preserve">خلافاً لِکثیرٍ مِن الأعاظم</w:t>
      </w:r>
      <w:r>
        <w:rPr>
          <w:rtl w:val="0"/>
          <w:lang w:val="fa-IR"/>
        </w:rPr>
        <w:t xml:space="preserve"> که خب آنها حتی در مقام احدیت قائل به تأخر رتبه شده‏اند.</w:t>
      </w:r>
    </w:p>
    <w:p>
      <w:pPr/>
      <w:r>
        <w:rPr>
          <w:rtl w:val="0"/>
          <w:lang w:val="fa-IR"/>
        </w:rPr>
        <w:t xml:space="preserve">فقط در این دو مسئله گفتیم که آن ذات با مقام حیات و احدیت در یک رتبه قرار دارد اما نسبت به مسئلۀ علم و همین‌طور نسبت به مسئلۀ قدرت اطلاقی در مقام علیت قرار دارد. آیا می‏توان تصور کرد که در یک مرتبه و در یک برهه و در یک طور از اطوار حیات و ذات، ذات بدون علم باشد؟! این امکان ندارد! یعنی </w:t>
      </w:r>
      <w:r>
        <w:rPr>
          <w:rStyle w:val="Arabi"/>
          <w:rtl w:val="0"/>
          <w:lang w:val="fa-IR"/>
        </w:rPr>
        <w:t xml:space="preserve">ذاتٌ بلا علمٍ و ذاتٌ بِلا قدرةٍ</w:t>
      </w:r>
      <w:r>
        <w:rPr>
          <w:rtl w:val="0"/>
          <w:lang w:val="fa-IR"/>
        </w:rPr>
        <w:t xml:space="preserve"> که این محال است!</w:t>
      </w:r>
    </w:p>
    <w:p>
      <w:pPr/>
      <w:r>
        <w:rPr>
          <w:rtl w:val="0"/>
          <w:lang w:val="fa-IR"/>
        </w:rPr>
        <w:t xml:space="preserve">بنابراین </w:t>
      </w:r>
      <w:r>
        <w:rPr>
          <w:rStyle w:val="Arabi"/>
          <w:rtl w:val="0"/>
          <w:lang w:val="fa-IR"/>
        </w:rPr>
        <w:t xml:space="preserve">کلّ ما یتصورُ برهةٌ أو طورٌ یکون فیه الذّاتُ إلی ما لا نهایةَ مِن قبلُ و لا مِن بعد </w:t>
      </w:r>
      <w:r>
        <w:rPr>
          <w:rtl w:val="0"/>
          <w:lang w:val="fa-IR"/>
        </w:rPr>
        <w:t xml:space="preserve">أبداً و أزلاً در همان مرتبه‏ای که تصور ذات هست، در همان مرتبه تصور علم و قدرت هست و هرجا که تصور قدرت ملتصق به ذات و </w:t>
      </w:r>
      <w:r>
        <w:rPr>
          <w:rStyle w:val="Arabi"/>
          <w:rtl w:val="0"/>
          <w:lang w:val="fa-IR"/>
        </w:rPr>
        <w:t xml:space="preserve">لا ینفک عن الذات</w:t>
      </w:r>
      <w:r>
        <w:rPr>
          <w:rtl w:val="0"/>
          <w:lang w:val="fa-IR"/>
        </w:rPr>
        <w:t xml:space="preserve"> باشد، در همان مرتبه اعیان به‌صورت مشیت کلیه و مشیت جزئیه تحقق دارند. پس دیگر تمام این بساط قدیم و حدیث، ربط حادث به قدیم، کیفیت سنخ ماده به مجرد، حدوث زمانی و قِدم زمانی، همۀ اینها دنبال کارشان رفتند و قضیه از نو بنا شد و آن این است که تمام اعیان خارجی، اعیان جزئیۀ قدریه هستند که مندک در آن مشیت و قضاء کلی است و قضاء کلی از آنجایی که علم عنائی حق است و علم عنائی حق لاینفک ذات است بنابراین تا خدا هست اعیان در عالم ثبوت وجود دارد. بله! همۀ تغییراتی که می‏بینیم، تغییرات عرضی است؛ سیاه سفید می‏شود، سفید قرمز می‏شود، این شخص بزرگ می‏شود، کوچک می‏شود، نحیف می‏شود، لاغر می‏شود و چاق می‏شود، همۀ اینها چیزهایی است که در عالم عرض تغییر هست! اما صحبت در آن است که این تغییرات نبوده است؟! نه، این تغییرات هست. صحبت در نبود و بود تغییرات و اعیان و اشیاء خارجی است نه در تغییرات، کسی منکر تغییر نیست! بالأخره معلوم است که یک دانۀ سیب [این اندازه] است و ده‌تای آن را هم روی هم جمع کنیم یک گرم نمی‏شود! این یک دانۀ سیب تبدیل به یک درخت هفت هشت متری می‏شود حالا در همدان باشد سی چهل متر هم بالاتر می‏رود و به‌اندازۀ هندوانه هم سیب می‏دهد!! ولی اصلش [این اندازه] است و این اوّلش است. این تغییری که می‏خواهد پیدا بشود، تغییر هست نه‌اینکه این تغییر نبوده است. الآن فرض کنید یک دانه طناب و یک خط و ریسمان را بردارید و باهم حرکت بدهید. این طناب نیم‏متری را که حرکت می‏دهید، از آن سرش تا این سر که دست شماست حرکت می‏کند، همۀ اینها دارد حرکت می‏کند و تا دست شما حرکت نکند، آن حرکت نمی‏کند و این قائم به دست شماست. ولی آیا می‏توانید بگویید که کدام قبل بوده و کدام بعد است؟ یعنی اگر از نظر زمانی این طناب را بگیرید و شروع به حرکت کنید، دست شما چند ثانیه قبل از طناب حرکت کرده و بعد طناب حرکت کرده است؟ هیچ! به‌مجرد اینکه دست شما حرکت کند طناب هم حرکت می‏کند و حتی یک صد هزارم ثانیه بین انگشت شما و بین این نخ فاصله نیست. اما علت آن حرکت چیست؟ علت، دست شماست.</w:t>
      </w:r>
    </w:p>
    <w:p>
      <w:pPr>
        <w:pStyle w:val="Heading6"/>
      </w:pPr>
      <w:r>
        <w:rPr>
          <w:rtl w:val="0"/>
          <w:lang w:val="fa-IR"/>
        </w:rPr>
        <w:t xml:space="preserve">عدم تخلل زمان بین علت و معلول</w:t>
      </w:r>
    </w:p>
    <w:p>
      <w:pPr/>
      <w:r>
        <w:rPr>
          <w:rtl w:val="0"/>
          <w:lang w:val="fa-IR"/>
        </w:rPr>
        <w:t xml:space="preserve">این را عدم تخلل زمان بین علت و بین معلول می‏گویند یعنی در هرجا که علت به‌عنوان </w:t>
      </w:r>
      <w:r>
        <w:rPr>
          <w:rStyle w:val="Arabi"/>
          <w:rtl w:val="0"/>
          <w:lang w:val="fa-IR"/>
        </w:rPr>
        <w:t xml:space="preserve">إنَّه هی علّةٌ</w:t>
      </w:r>
      <w:r>
        <w:rPr>
          <w:rtl w:val="0"/>
          <w:lang w:val="fa-IR"/>
        </w:rPr>
        <w:t xml:space="preserve"> تحقق پیدا کرد، در همان‌جا معلول حضور دارد و می‏گوید: ما هم هستیم و خیال نکن تو علتی و بالاتری و فلانی که خودت را از ما بالاتر فرض می‏کنی! بالاتری، باش! ولی ما هم علتیم و در اینجا تشریف داریم، ما هم در اینجا هستیم و برای خودمان هم کسی هستیم! می‏توانی؟! بسم الله! تو خودت باش و ما نباشیم! آن‏وقت آن دیگر علت نیست و یک چیز دیگر است. الآن شما این نخ را رها کنید، دیگر این انگشت شما علت نیست و انگشت است. چه موقعی به این علت گفته می‏شود؟! وقتی که شما مجبورید و چاره ندارید که این نخ را بگیرید. لذا شاعر می‏گوید: خدایا هم تو علت ما هستی [و هم ما ظهور تو هستیم]!</w:t>
      </w:r>
    </w:p>
    <w:p>
      <w:pPr>
        <w:pStyle w:val="She'rMatn"/>
      </w:pPr>
      <w:r>
        <w:rPr>
          <w:rtl w:val="0"/>
          <w:lang w:val="fa-IR"/>
        </w:rPr>
        <w:t xml:space="preserve">ظهور تو به من است و وجود من از تو</w:t>
      </w:r>
      <w:r>
        <w:rPr>
          <w:rStyle w:val="Arabi"/>
          <w:rtl w:val="0"/>
          <w:lang w:val="fa-IR"/>
        </w:rPr>
        <w:t xml:space="preserve"> *** و لست تظهر لولای لم اکن لولاک</w:t>
      </w:r>
      <w:r>
        <w:rPr>
          <w:rStyle w:val="FootnoteReference"/>
        </w:rPr>
        <w:footnoteReference w:id="19"/>
      </w:r>
    </w:p>
    <w:p>
      <w:pPr/>
      <w:r>
        <w:rPr>
          <w:rtl w:val="0"/>
          <w:lang w:val="fa-IR"/>
        </w:rPr>
        <w:t xml:space="preserve">اگر من نباشم تو چه موقعی می‏توانی ظهور پیدا کنی؟! ظهور پیدا کن ببینم! ما هم برای خدا شاخ و شانه می‏کشیم و می‏گوییم: خدایا درست است که تو خدای ما هستی و علت هستی و خالق هستی، اینها را قبول داریم ولی از آن‌طرف هم اگر ما نباشیم خدایی تو اینجا چه فایده و نقشی در اینجا دارد؟! ما باید باشیم تا تو بتوانی خدایی خودت را نشان بدهی! باید ما باشیم تا تو بتوانی خالقیت خودت را ابراز کنی! اگر من نباشم و شما هم نباشی و آن یکی هم نباشد، پس خدا چه‌کار می‏کند؟! دستش را روی سرش می‏گذارد و قلیان می‏کشد!! خب اینکه دیگر نمی‌تواند کاری انجام بدهد. باید یک انسان، ظهور خارجی، مخلوق و معلولی باشد تا علت در جنبۀ علیتش تحقق پیدا کند والاّ دیگر علت نیست! خب آنکه دیگر خالق نیست! می‌خواهد چه چیزی را خلق کند؟! اینکه هنوز خلقی نکرده است! اینکه هنوز ظهور پیدا نکرده است! در همان بساطت و صرافت خود و مقام احدیة الذات خودش باقی می‏ماند. پس می‏فرماید: «ظهور تو به من است و وجود من از تو»! تا من نباشم این ظهور در کجا می‌تواند تحقق پیدا کند؟! بنابراین به این وسیله مسئلۀ قدر روشن شد. حالا طبعاً رفقا به این روایاتی که در این زمینه هست می‏رسند و مطالعه می‏کنند! با این نکاتی که عرض شد متوجه می‌شویم که همۀ روایات و احادیث و آیاتی که در این زمینه آمده‌اند اینها جنبۀ تغییراتی دارد که آن تغییرات در نفس خود مقام قضاء و قدر به این کیفیت بیان شده است نه‌اینکه تغییری نبوده است و بعد تغییر پیدا شده است! این دو حرف است. یک وقت می‏گوییم که آیا تغییر و تحول نبوده است؟! بوده است. همین‌طور‌که ما الآن هستیم، در خود آن مقامات علوی و ربوبی هم تغییر و تحولات بوده است و این مسائل هست. وجود یکی علت برای دیگری است. پس مراتب شدت، مراتب ضعف، کثرت در وجود و تشکیک در وجود برای چیست؟! یک وقت می‏گوییم که تغییر و تحول نبوده است، عدم بوده و بعد پیدا می‏شود که آن یک مطلب دیگر است که آن با این مبانی‏ای که عرض شد دیگر جایی ندارد.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30. </w:t>
      </w:r>
      <w:r>
        <w:rPr>
          <w:rtl w:val="0"/>
          <w:lang w:val="fa-IR"/>
        </w:rPr>
        <w:t xml:space="preserve">تفسیر آیۀ نور</w:t>
      </w:r>
      <w:r>
        <w:rPr>
          <w:rtl w:val="0"/>
          <w:lang w:val="fa-IR"/>
        </w:rPr>
        <w:t xml:space="preserve">، ص 77:</w:t>
      </w:r>
    </w:p>
    <w:p>
      <w:pPr>
        <w:pStyle w:val="FootnoteText"/>
      </w:pPr>
      <w:r>
        <w:rPr>
          <w:rtl w:val="0"/>
          <w:lang w:val="fa-IR"/>
        </w:rPr>
        <w:t xml:space="preserve">«خداوند به ملائكه گفت: اى ملائكه! من مى‏خواهم در روى زمین براى خودم خلیفه قرار بدهم.»</w:t>
      </w:r>
    </w:p>
  </w:footnote>
  <w:footnote w:id="2">
    <w:p>
      <w:pPr>
        <w:pStyle w:val="FootnoteText"/>
      </w:pPr>
      <w:r>
        <w:rPr>
          <w:rStyle w:val="FootnoteReference"/>
        </w:rPr>
        <w:footnoteRef/>
      </w:r>
      <w:r>
        <w:t xml:space="preserve"> </w:t>
      </w:r>
      <w:r>
        <w:rPr>
          <w:rtl w:val="0"/>
          <w:lang w:val="fa-IR"/>
        </w:rPr>
        <w:t xml:space="preserve">. سوره اعراف (7) آیه 172. </w:t>
      </w:r>
      <w:r>
        <w:rPr>
          <w:rtl w:val="0"/>
          <w:lang w:val="fa-IR"/>
        </w:rPr>
        <w:t xml:space="preserve">الله شناسی</w:t>
      </w:r>
      <w:r>
        <w:rPr>
          <w:rtl w:val="0"/>
          <w:lang w:val="fa-IR"/>
        </w:rPr>
        <w:t xml:space="preserve">، ج 2، ص 167:</w:t>
      </w:r>
    </w:p>
    <w:p>
      <w:pPr>
        <w:pStyle w:val="FootnoteText"/>
      </w:pPr>
      <w:r>
        <w:rPr>
          <w:rtl w:val="0"/>
          <w:lang w:val="fa-IR"/>
        </w:rPr>
        <w:t xml:space="preserve">«و یاد بیاور زمانى را كه پروردگار تو از بنى‏آدم از پشت‌هایشان ذریه و نسل آنها را خارج ساخت و ایشان را بر خودشان گواه گرفت كه آیا من پروردگار شما نیستم؟ گفتند: آرى ما گواه بوده‏ایم اینكه شما در روز قیامت مى‏گویید: حقاً ما از این پیمان غافل بوده‏ایم.»</w:t>
      </w:r>
    </w:p>
  </w:footnote>
  <w:footnote w:id="3">
    <w:p>
      <w:pPr>
        <w:pStyle w:val="FootnoteText"/>
      </w:pPr>
      <w:r>
        <w:rPr>
          <w:rStyle w:val="FootnoteReference"/>
        </w:rPr>
        <w:footnoteRef/>
      </w:r>
      <w:r>
        <w:t xml:space="preserve"> </w:t>
      </w:r>
      <w:r>
        <w:rPr>
          <w:rtl w:val="0"/>
          <w:lang w:val="fa-IR"/>
        </w:rPr>
        <w:t xml:space="preserve">. سوره واقعه (56) آیه 1 و 2.</w:t>
      </w:r>
    </w:p>
  </w:footnote>
  <w:footnote w:id="4">
    <w:p>
      <w:pPr>
        <w:pStyle w:val="FootnoteText"/>
      </w:pPr>
      <w:r>
        <w:rPr>
          <w:rStyle w:val="FootnoteReference"/>
        </w:rPr>
        <w:footnoteRef/>
      </w:r>
      <w:r>
        <w:t xml:space="preserve"> </w:t>
      </w:r>
      <w:r>
        <w:rPr>
          <w:rtl w:val="0"/>
          <w:lang w:val="fa-IR"/>
        </w:rPr>
        <w:t xml:space="preserve">. سوره الرحمن (55) آیه 37.</w:t>
      </w:r>
    </w:p>
  </w:footnote>
  <w:footnote w:id="5">
    <w:p>
      <w:pPr>
        <w:pStyle w:val="FootnoteText"/>
      </w:pPr>
      <w:r>
        <w:rPr>
          <w:rStyle w:val="FootnoteReference"/>
        </w:rPr>
        <w:footnoteRef/>
      </w:r>
      <w:r>
        <w:t xml:space="preserve"> </w:t>
      </w:r>
      <w:r>
        <w:rPr>
          <w:rtl w:val="0"/>
          <w:lang w:val="fa-IR"/>
        </w:rPr>
        <w:t xml:space="preserve">. سوره انشقاق (84) آیه 1 و 2. </w:t>
      </w:r>
      <w:r>
        <w:rPr>
          <w:rtl w:val="0"/>
          <w:lang w:val="fa-IR"/>
        </w:rPr>
        <w:t xml:space="preserve">معادشناسی</w:t>
      </w:r>
      <w:r>
        <w:rPr>
          <w:rtl w:val="0"/>
          <w:lang w:val="fa-IR"/>
        </w:rPr>
        <w:t xml:space="preserve">، ج 2، ص 243:</w:t>
      </w:r>
    </w:p>
    <w:p>
      <w:pPr>
        <w:pStyle w:val="FootnoteText"/>
      </w:pPr>
      <w:r>
        <w:rPr>
          <w:rtl w:val="0"/>
          <w:lang w:val="fa-IR"/>
        </w:rPr>
        <w:t xml:space="preserve">«در آن وقتى‏كه كه آسمان‌ها شكاف بردارند و یك‌سره گوش به فرمان خدایشان دهند؛ و حق است كه فرمان خدا را بپذیرند.»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٨٤. </w:t>
      </w:r>
      <w:r>
        <w:rPr>
          <w:rtl w:val="0"/>
          <w:lang w:val="fa-IR"/>
        </w:rPr>
        <w:t xml:space="preserve">معاد شناسی</w:t>
      </w:r>
      <w:r>
        <w:rPr>
          <w:rtl w:val="0"/>
          <w:lang w:val="fa-IR"/>
        </w:rPr>
        <w:t xml:space="preserve">، ج ٥، ص ٢١٩:</w:t>
      </w:r>
    </w:p>
    <w:p>
      <w:pPr>
        <w:pStyle w:val="FootnoteText"/>
      </w:pPr>
      <w:r>
        <w:rPr>
          <w:rtl w:val="0"/>
          <w:lang w:val="fa-IR"/>
        </w:rPr>
        <w:t xml:space="preserve">«امروز روز عمل است و حسابی نیست؛ و فردا روز حساب است و کرداری نیست.»</w:t>
      </w:r>
    </w:p>
  </w:footnote>
  <w:footnote w:id="7">
    <w:p>
      <w:pPr>
        <w:pStyle w:val="FootnoteText"/>
      </w:pPr>
      <w:r>
        <w:rPr>
          <w:rStyle w:val="FootnoteReference"/>
        </w:rPr>
        <w:footnoteRef/>
      </w:r>
      <w:r>
        <w:t xml:space="preserve"> </w:t>
      </w:r>
      <w:r>
        <w:rPr>
          <w:rtl w:val="0"/>
          <w:lang w:val="fa-IR"/>
        </w:rPr>
        <w:t xml:space="preserve">. سوره قصص (28) آیه 27:</w:t>
      </w:r>
    </w:p>
    <w:p>
      <w:pPr>
        <w:pStyle w:val="FootnoteText"/>
      </w:pPr>
      <w:r>
        <w:rPr>
          <w:rtl w:val="0"/>
          <w:lang w:val="fa-IR"/>
        </w:rPr>
        <w:t xml:space="preserve">«شعیب (به موسی) گفت: من ارادۀ آن دارم که یکی از این دو دخترم را به نکاح تو در آورم.»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الإحتجاج</w:t>
      </w:r>
      <w:r>
        <w:rPr>
          <w:rtl w:val="0"/>
          <w:lang w:val="fa-IR"/>
        </w:rPr>
        <w:t xml:space="preserve">، ج ۱، ص ۱6۸.</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الفتوح</w:t>
      </w:r>
      <w:r>
        <w:rPr>
          <w:rtl w:val="0"/>
          <w:lang w:val="fa-IR"/>
        </w:rPr>
        <w:t xml:space="preserve">، ابن اعثم، ج 2، ص 484؛ </w:t>
      </w:r>
      <w:r>
        <w:rPr>
          <w:rtl w:val="0"/>
          <w:lang w:val="fa-IR"/>
        </w:rPr>
        <w:t xml:space="preserve">طبقات الکبری</w:t>
      </w:r>
      <w:r>
        <w:rPr>
          <w:rtl w:val="0"/>
          <w:lang w:val="fa-IR"/>
        </w:rPr>
        <w:t xml:space="preserve">، ج 8، ص 148.</w:t>
      </w:r>
    </w:p>
  </w:footnote>
  <w:footnote w:id="10">
    <w:p>
      <w:pPr>
        <w:pStyle w:val="FootnoteText"/>
      </w:pPr>
      <w:r>
        <w:rPr>
          <w:rStyle w:val="FootnoteReference"/>
        </w:rPr>
        <w:footnoteRef/>
      </w:r>
      <w:r>
        <w:t xml:space="preserve"> </w:t>
      </w:r>
      <w:r>
        <w:rPr>
          <w:rtl w:val="0"/>
          <w:lang w:val="fa-IR"/>
        </w:rPr>
        <w:t xml:space="preserve">. سوره احزاب (33) آیه 32. </w:t>
      </w:r>
      <w:r>
        <w:rPr>
          <w:rtl w:val="0"/>
          <w:lang w:val="fa-IR"/>
        </w:rPr>
        <w:t xml:space="preserve">مهرتابان</w:t>
      </w:r>
      <w:r>
        <w:rPr>
          <w:rtl w:val="0"/>
          <w:lang w:val="fa-IR"/>
        </w:rPr>
        <w:t xml:space="preserve">، ص 417:</w:t>
      </w:r>
    </w:p>
    <w:p>
      <w:pPr>
        <w:pStyle w:val="FootnoteText"/>
      </w:pPr>
      <w:r>
        <w:rPr>
          <w:rtl w:val="0"/>
          <w:lang w:val="fa-IR"/>
        </w:rPr>
        <w:t xml:space="preserve">«اى زنان پیغمبر! شما اگر تقوا پیشه گیرید مانند هیچ‌یك از زن‏هاى دیگر نیستید!»</w:t>
      </w:r>
    </w:p>
  </w:footnote>
  <w:footnote w:id="1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الاستیعاب</w:t>
      </w:r>
      <w:r>
        <w:rPr>
          <w:rtl w:val="0"/>
          <w:lang w:val="fa-IR"/>
        </w:rPr>
        <w:t xml:space="preserve">، ج 4، ص 1789.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اثبات الهداة</w:t>
      </w:r>
      <w:r>
        <w:rPr>
          <w:rtl w:val="0"/>
          <w:lang w:val="fa-IR"/>
        </w:rPr>
        <w:t xml:space="preserve">، ج 2، ص 135؛ </w:t>
      </w:r>
      <w:r>
        <w:rPr>
          <w:rtl w:val="0"/>
          <w:lang w:val="fa-IR"/>
        </w:rPr>
        <w:t xml:space="preserve">اثبات الوصیة</w:t>
      </w:r>
      <w:r>
        <w:rPr>
          <w:rtl w:val="0"/>
          <w:lang w:val="fa-IR"/>
        </w:rPr>
        <w:t xml:space="preserve">، ص 160.</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۱، ص ۱6۸، با قدری اختلاف.</w:t>
      </w:r>
    </w:p>
  </w:footnote>
  <w:footnote w:id="14">
    <w:p>
      <w:pPr>
        <w:pStyle w:val="FootnoteText"/>
      </w:pPr>
      <w:r>
        <w:rPr>
          <w:rStyle w:val="FootnoteReference"/>
        </w:rPr>
        <w:footnoteRef/>
      </w:r>
      <w:r>
        <w:t xml:space="preserve"> </w:t>
      </w:r>
      <w:r>
        <w:rPr>
          <w:rtl w:val="0"/>
          <w:lang w:val="fa-IR"/>
        </w:rPr>
        <w:t xml:space="preserve">. سوره قصص (28) آیه 27:</w:t>
      </w:r>
    </w:p>
    <w:p>
      <w:pPr>
        <w:pStyle w:val="FootnoteText"/>
      </w:pPr>
      <w:r>
        <w:rPr>
          <w:rtl w:val="0"/>
          <w:lang w:val="fa-IR"/>
        </w:rPr>
        <w:t xml:space="preserve">«شعیب (به موسی) گفت: من ارادۀ آن دارم که یکی از این دو دخترم را به نکاح تو در آورم.» (محقق)</w:t>
      </w:r>
    </w:p>
  </w:footnote>
  <w:footnote w:id="15">
    <w:p>
      <w:pPr>
        <w:pStyle w:val="FootnoteText"/>
      </w:pPr>
      <w:r>
        <w:rPr>
          <w:rStyle w:val="FootnoteReference"/>
        </w:rPr>
        <w:footnoteRef/>
      </w:r>
      <w:r>
        <w:t xml:space="preserve"> </w:t>
      </w:r>
      <w:r>
        <w:rPr>
          <w:rtl w:val="0"/>
          <w:lang w:val="fa-IR"/>
        </w:rPr>
        <w:t xml:space="preserve">. سوره بقره (2) آیه 30. </w:t>
      </w:r>
      <w:r>
        <w:rPr>
          <w:rtl w:val="0"/>
          <w:lang w:val="fa-IR"/>
        </w:rPr>
        <w:t xml:space="preserve">نور ملکوت قرآن</w:t>
      </w:r>
      <w:r>
        <w:rPr>
          <w:rtl w:val="0"/>
          <w:lang w:val="fa-IR"/>
        </w:rPr>
        <w:t xml:space="preserve">، ج 1، ص 378:</w:t>
      </w:r>
    </w:p>
    <w:p>
      <w:pPr>
        <w:pStyle w:val="FootnoteText"/>
      </w:pPr>
      <w:r>
        <w:rPr>
          <w:rtl w:val="0"/>
          <w:lang w:val="fa-IR"/>
        </w:rPr>
        <w:t xml:space="preserve">«و یاد بیاور هنگامى را كه پروردگار تو به فرشتگان گفت: من حقاً در زمین خلیفه خود را قرار می‌دهم!»</w:t>
      </w:r>
    </w:p>
  </w:footnote>
  <w:footnote w:id="16">
    <w:p>
      <w:pPr>
        <w:pStyle w:val="FootnoteText"/>
      </w:pPr>
      <w:r>
        <w:rPr>
          <w:rStyle w:val="FootnoteReference"/>
        </w:rPr>
        <w:footnoteRef/>
      </w:r>
      <w:r>
        <w:t xml:space="preserve"> </w:t>
      </w:r>
      <w:r>
        <w:rPr>
          <w:rtl w:val="0"/>
          <w:lang w:val="fa-IR"/>
        </w:rPr>
        <w:t xml:space="preserve">. سوره اعراف (7) آیه 172. </w:t>
      </w:r>
      <w:r>
        <w:rPr>
          <w:rtl w:val="0"/>
          <w:lang w:val="fa-IR"/>
        </w:rPr>
        <w:t xml:space="preserve">الله شناسی</w:t>
      </w:r>
      <w:r>
        <w:rPr>
          <w:rtl w:val="0"/>
          <w:lang w:val="fa-IR"/>
        </w:rPr>
        <w:t xml:space="preserve">، ج 2، ص 167:</w:t>
      </w:r>
    </w:p>
    <w:p>
      <w:pPr>
        <w:pStyle w:val="FootnoteText"/>
      </w:pPr>
      <w:r>
        <w:rPr>
          <w:rtl w:val="0"/>
          <w:lang w:val="fa-IR"/>
        </w:rPr>
        <w:t xml:space="preserve">«و یاد بیاور زمانى را كه پروردگار تو از بنى‏آدم از پشت‌هایشان ذریه و نسل آنها را خارج ساخت و ایشان را بر خودشان گواه گرفت كه آیا من پروردگار شما نیستم؟ گفتند: آرى ما گواه بوده‏ایم اینكه شما در روز قیامت مى‏گویید: حقاً ما از این پیمان غافل بوده‏ایم.»</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۲6، ص ۱.</w:t>
      </w:r>
    </w:p>
  </w:footnote>
  <w:footnote w:id="18">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روح مجرد</w:t>
      </w:r>
      <w:r>
        <w:rPr>
          <w:rtl w:val="0"/>
          <w:lang w:val="fa-IR"/>
        </w:rPr>
        <w:t xml:space="preserve">، ص 157.</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دیوان شمس مغربی</w:t>
      </w:r>
      <w:r>
        <w:rPr>
          <w:rtl w:val="0"/>
          <w:lang w:val="fa-IR"/>
        </w:rPr>
        <w:t xml:space="preserve">، غزل 111.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