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شصت و ششم</w:t>
      </w:r>
    </w:p>
    <w:p>
      <w:pPr>
        <w:pStyle w:val="Heading5"/>
      </w:pPr>
      <w:r>
        <w:rPr>
          <w:rtl w:val="0"/>
          <w:lang w:val="fa-IR"/>
        </w:rPr>
        <w:t xml:space="preserve">قضاء کلی و مسئلۀ قدَر</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علت اختلاف دیدگاه بزرگان نسبت به مسئلۀ قضا و قدر</w:t>
      </w:r>
    </w:p>
    <w:p>
      <w:pPr/>
      <w:r>
        <w:rPr>
          <w:rtl w:val="0"/>
          <w:lang w:val="fa-IR"/>
        </w:rPr>
        <w:t xml:space="preserve">نسبت به قضاء کلی و مسئلۀ قدَر و به‌طورکلی در یک صحبت و بحث جامع‏تر نسبت به علم ربوبی که آن علم مساوق با ظهور و بروز خارجی است مطلب با آن کیفیتی که عرض شد، این مسئله روشن شد. از نقطه‌نظر ادلۀ فلسفی و همین‌طور از نظر مسائل کشفی و شهودی که در این مسئله اهل معرفت و بزرگان در تصریحات خودشان بر این قضیه متفق هستند. البته منظور از اتفاق، نه‌اینکه به‌عنوان یک دلیل در اینجا به‌حساب بیاید همان‌طور که بعضی به این مسئله استدلال بر تحقق در بیانات خودشان دارند. چون آنجا جایِ اتفاق نیست بلکه به‌عنوان یک تأیید هست بر اینکه مراتبی که برای افراد کشف می‏شود، این مراتب از یک منشأ سرچشمه می‏گیرد و برای هر شخص در همان افقی که وجود دارد همان مسئله کشف می‏شود که برای فرد دیگر در همان افق تحقق دارد. بله، ممکن است به‌واسطۀ اختلاف مراتبِ سعه و تجرّد، آن دیدگاه، کیفیت، بصیرت، اطلاع و اشراف متفاوت باشد. اینجاست که ما مسائل را به‌نحو اختلاف مشاهده می‏کنیم ولی درصورتی‌که شخص در همان افق از تجرّد و مراتب و عوالم ربوبی و عوالم توحیدی باشد، در همان مرتبه دیگر اختلاف وجود ندارد و در آنجا اتفاق و اتحاد اشتراک در رؤیت و بصیرت، ساری و جاری است.</w:t>
      </w:r>
    </w:p>
    <w:p>
      <w:pPr/>
      <w:r>
        <w:rPr>
          <w:rtl w:val="0"/>
          <w:lang w:val="fa-IR"/>
        </w:rPr>
        <w:t xml:space="preserve">لذا مشاهده می‏کنیم که بزرگان در تعابیر خودشان این مسئله را به‌نحو اجمال و به‌نحو تفصیل ذکر کرده‏اند. این قضیه به‌نحو اجمال و تفصیل مثلاً در </w:t>
      </w:r>
      <w:r>
        <w:rPr>
          <w:rtl w:val="0"/>
          <w:lang w:val="fa-IR"/>
        </w:rPr>
        <w:t xml:space="preserve">فصوص</w:t>
      </w:r>
      <w:r>
        <w:rPr>
          <w:rtl w:val="0"/>
          <w:lang w:val="fa-IR"/>
        </w:rPr>
        <w:t xml:space="preserve">، در </w:t>
      </w:r>
      <w:r>
        <w:rPr>
          <w:rStyle w:val="Arabi"/>
          <w:rtl w:val="0"/>
          <w:lang w:val="fa-IR"/>
        </w:rPr>
        <w:t xml:space="preserve">حکمةٌ إلهیه</w:t>
      </w:r>
      <w:r>
        <w:rPr>
          <w:rtl w:val="0"/>
          <w:lang w:val="fa-IR"/>
        </w:rPr>
        <w:t xml:space="preserve"> در </w:t>
      </w:r>
      <w:r>
        <w:rPr>
          <w:rStyle w:val="Arabi"/>
          <w:rtl w:val="0"/>
          <w:lang w:val="fa-IR"/>
        </w:rPr>
        <w:t xml:space="preserve">فصّ آدمیه</w:t>
      </w:r>
      <w:r>
        <w:rPr>
          <w:rtl w:val="0"/>
          <w:lang w:val="fa-IR"/>
        </w:rPr>
        <w:t xml:space="preserve"> ـ همین‌طور در فصّ نوحیه، البته احتمال می‏دهم باید دیده باشم. حالا مراجعه بکنید ببینید که در آنجا [هست یا نه] ـ مرحوم شیخ تصریح دارند بر اینکه مقام اجمال در مراتب ظهور در حضرت آدم تجلی پیدا کرده است.</w:t>
      </w:r>
    </w:p>
    <w:p>
      <w:pPr/>
      <w:r>
        <w:rPr>
          <w:rtl w:val="0"/>
          <w:lang w:val="fa-IR"/>
        </w:rPr>
        <w:t xml:space="preserve">این قضیه، قضیه‏ای است که برای افراد موجب شبهه می‏شود که با توجه به آنچه که ما نسبت به مقام تفصیل در علم عنائی صحبت کردیم، دیگر تصور اجمال در هر مرتبه از مراتب وجود، چه اجمال در علم عنائی باشد یا اجمال در مقام اسماء و صفات بخواهد تحقق پیدا کند، در مبدأیت اشیاء و در ظهور اشیاء که از آن تعبیر به عالم قضاء کلی و قدر جزئی می‏شود یااینکه در نفوس کلیه که این مسئله در آنجا مطرح هست در هرکدام از اینها بخواهیم به این مسئله برسیم، می‏بینیم که صحبت از مقام اجمال شده است.</w:t>
      </w:r>
    </w:p>
    <w:p>
      <w:pPr/>
      <w:r>
        <w:rPr>
          <w:rtl w:val="0"/>
          <w:lang w:val="fa-IR"/>
        </w:rPr>
        <w:t xml:space="preserve">با توجه به آنچه که در این جلسات اخیر و بحث‏های اخیر خدمت رفقا عرض کرده‏ام، خصوصیت این مقام اجمال باید روشن بشود و حقیقتش باید نمود پیدا کند که اگر وقت داشته باشیم در انتهای بحث این جلسه به این مسئله می‏پردازیم که با وجود اینکه در تعبیرات از تکوّن مراتب اسماء و صفات در نفوس بعضی از ظروف مستعدّه تعبیر به اجمال شده با آنچه را که ما نسبت به مقام تفصیل عرض کردیم، چگونه می‏تواند سازگاری داشته باشد.</w:t>
      </w:r>
    </w:p>
    <w:p>
      <w:pPr>
        <w:pStyle w:val="Heading6"/>
      </w:pPr>
      <w:r>
        <w:rPr>
          <w:rtl w:val="0"/>
          <w:lang w:val="fa-IR"/>
        </w:rPr>
        <w:t xml:space="preserve">معنای روایت «</w:t>
      </w:r>
      <w:r>
        <w:rPr>
          <w:rStyle w:val="Arabi"/>
          <w:rtl w:val="0"/>
          <w:lang w:val="fa-IR"/>
        </w:rPr>
        <w:t xml:space="preserve">لَم یسبق لَهُ حَالٌ حَالاً</w:t>
      </w:r>
      <w:r>
        <w:rPr>
          <w:rtl w:val="0"/>
          <w:lang w:val="fa-IR"/>
        </w:rPr>
        <w:t xml:space="preserve">»</w:t>
      </w:r>
    </w:p>
    <w:p>
      <w:pPr/>
      <w:r>
        <w:rPr>
          <w:rtl w:val="0"/>
          <w:lang w:val="fa-IR"/>
        </w:rPr>
        <w:t xml:space="preserve">اگر درنظر شریف رفقا باشد، نسبت به روایاتی که ما در اینجا داریم و یا آیات قرآنی که در این مسئله وارد است، می‏بینیم که باید به یک حلّی در مسئله رسید. در بعضی از آنها داریم که تغییر و تحوّل در ذات پروردگار وجود ندارد؛ مثلاً در این روایتی که عرض شد ـ من این جلسه می‏خواستم روایت‌های دیگر را از کتاب </w:t>
      </w:r>
      <w:r>
        <w:rPr>
          <w:rtl w:val="0"/>
          <w:lang w:val="fa-IR"/>
        </w:rPr>
        <w:t xml:space="preserve">توحید</w:t>
      </w:r>
      <w:r>
        <w:rPr>
          <w:rtl w:val="0"/>
          <w:lang w:val="fa-IR"/>
        </w:rPr>
        <w:t xml:space="preserve"> بیاورم منتها مانعی پیش آمد و نتوانستم، مجال پیدا نکردم ـ در این کلامی که از حضرت در </w:t>
      </w:r>
      <w:r>
        <w:rPr>
          <w:rtl w:val="0"/>
          <w:lang w:val="fa-IR"/>
        </w:rPr>
        <w:t xml:space="preserve">نهج‌البلاغه</w:t>
      </w:r>
      <w:r>
        <w:rPr>
          <w:rtl w:val="0"/>
          <w:lang w:val="fa-IR"/>
        </w:rPr>
        <w:t xml:space="preserve"> هست که می‏فرماید: </w:t>
      </w:r>
      <w:r>
        <w:rPr>
          <w:rStyle w:val="RevayatArabi"/>
          <w:rtl w:val="0"/>
          <w:lang w:val="fa-IR"/>
        </w:rPr>
        <w:t xml:space="preserve">«لَم یسبق لَهُ حالٌ حالاً»</w:t>
      </w:r>
      <w:r>
        <w:rPr>
          <w:rStyle w:val="FootnoteReference"/>
        </w:rPr>
        <w:footnoteReference w:id="1"/>
      </w:r>
      <w:r>
        <w:rPr>
          <w:rtl w:val="0"/>
          <w:lang w:val="fa-IR"/>
        </w:rPr>
        <w:t xml:space="preserve"> در اینجا این کلام دلالت بر عدم تغیّر و دلالت بر یک ثبوت مستمر می‏کند. وقتی که حکم به ثبوت در ذات پروردگار بشود، دیگر استمرارش هم حتی معنا ندارد چون خودِ نفس استمرار یعنی </w:t>
      </w:r>
      <w:r>
        <w:rPr>
          <w:rStyle w:val="Arabi"/>
          <w:rtl w:val="0"/>
          <w:lang w:val="fa-IR"/>
        </w:rPr>
        <w:t xml:space="preserve">تبدّلٌ بَعدَ تَبدُّل، تَحقّقٌ بَعدَ تَحقُّق، فِعلیةٌ بَعدَ فِعلیه</w:t>
      </w:r>
      <w:r>
        <w:rPr>
          <w:rtl w:val="0"/>
          <w:lang w:val="fa-IR"/>
        </w:rPr>
        <w:t xml:space="preserve">. این معنا معنای استمرار است. الآن که ما در اینجا نشسته‏ایم، می‏گویند که بودِ ما در اینجا مستمر هست؛ یعنی مدام تحقق‏های متوالیه یکی پشت یکی دیگر برای ما حاصل و عارض می‏شود، اسم این تحقق‏ها را استمرار می‏گذاریم اما اگر بخواهیم به هر تحققی در ذات خودش بدون توجه به قبل و بعد او توجه کنیم دیگر به آن استمرار نمی‏گویند بلکه به آن آنیات می‏گویند. «آن» از همین جهت است که توجه فقط به نفس همان لحظه است </w:t>
      </w:r>
      <w:r>
        <w:rPr>
          <w:rStyle w:val="Arabi"/>
          <w:rtl w:val="0"/>
          <w:lang w:val="fa-IR"/>
        </w:rPr>
        <w:t xml:space="preserve">لا بِقَبلِها و لا بِبَعدِها</w:t>
      </w:r>
      <w:r>
        <w:rPr>
          <w:rtl w:val="0"/>
          <w:lang w:val="fa-IR"/>
        </w:rPr>
        <w:t xml:space="preserve">. این به اصطلاح «آن» و آن لحظه می‏شود، حالا ثانیه که دیگر عامی است و به اصطلاح [عوامانه] است.</w:t>
      </w:r>
    </w:p>
    <w:p>
      <w:pPr/>
      <w:r>
        <w:rPr>
          <w:rtl w:val="0"/>
          <w:lang w:val="fa-IR"/>
        </w:rPr>
        <w:t xml:space="preserve">حضرت در اینجا می‏فرمایند: </w:t>
      </w:r>
      <w:r>
        <w:rPr>
          <w:rStyle w:val="RevayatArabi"/>
          <w:rtl w:val="0"/>
          <w:lang w:val="fa-IR"/>
        </w:rPr>
        <w:t xml:space="preserve">«لَم یسبق لَهُ حالٌ حالاً فَیکونَ أوّلاً قَبلَ أن یکونَ آخِراً»</w:t>
      </w:r>
      <w:r>
        <w:rPr>
          <w:rtl w:val="0"/>
          <w:lang w:val="fa-IR"/>
        </w:rPr>
        <w:t xml:space="preserve"> حالا اگر سبقتِ حال باشد یعنی یک حالی بر ذات پروردگار سابق باشد قبل از اینکه حال دیگری بیاید، بنابراین بین این دو تعلقِ حال و این دو تحقق حال، یک مبدأیت و یک انتهائیت فرض می‏شود؛ یعنی ذات پروردگار از یک مرتبه به یک مرتبۀ دیگر تحول پیدا می‏کند و این مبدأ می‏شود و آن آخر و منتهیٰ می‏شود و دوباره آن برای یک انتهایی و برای یک مقصدی، مبدأ می‏شود.</w:t>
      </w:r>
    </w:p>
    <w:p>
      <w:pPr/>
      <w:r>
        <w:rPr>
          <w:rStyle w:val="RevayatArabi"/>
          <w:rtl w:val="0"/>
          <w:lang w:val="fa-IR"/>
        </w:rPr>
        <w:t xml:space="preserve">«و یکونَ ظاهراً قَبلَ أن یکونَ باطناً»؛</w:t>
      </w:r>
      <w:r>
        <w:rPr>
          <w:rtl w:val="0"/>
          <w:lang w:val="fa-IR"/>
        </w:rPr>
        <w:t xml:space="preserve"> و اینکه پروردگار ظاهر باشد قبل از اینکه باطن باشد چون این تحول در تحقق ظهور و در تحقق بطون و بطنیت لازم است که ظاهر برگردد و باطن بشود، باطن برگردد و ظاهر بشود.</w:t>
      </w:r>
    </w:p>
    <w:p>
      <w:pPr>
        <w:pStyle w:val="Heading6"/>
      </w:pPr>
      <w:r>
        <w:rPr>
          <w:rtl w:val="0"/>
          <w:lang w:val="fa-IR"/>
        </w:rPr>
        <w:t xml:space="preserve">نفی تقلب در ذات پروردگار</w:t>
      </w:r>
    </w:p>
    <w:p>
      <w:pPr/>
      <w:r>
        <w:rPr>
          <w:rtl w:val="0"/>
          <w:lang w:val="fa-IR"/>
        </w:rPr>
        <w:t xml:space="preserve">در اینجا نگاه می‏کنیم و می‏بینیم که امیرالمؤمنین علیه‌السّلام یااینکه موسی بن جعفر علیه‌السّلام در روایتی که جلسۀ قبل عرض شد و اینجا آوردیم، تقلب را به‌طورکلی از ذات پروردگار نفی کرده است و وقتی این از ذات پروردگار نفی بشود آن‌وقت چطور می‏شود در اینجا دو کیفیت برای آثار و برای ظهورات پروردگار تصور کرد؟! از یک طرف در آیات قرآن داریم: </w:t>
      </w:r>
      <w:r>
        <w:rPr>
          <w:rtl w:val="0"/>
          <w:lang w:val="fa-IR"/>
        </w:rPr>
        <w:t xml:space="preserve">﴿هُوَ ٱلۡأَوَّلُ وَٱلۡأٓخِرُ﴾</w:t>
      </w:r>
      <w:r>
        <w:rPr>
          <w:rStyle w:val="FootnoteReference"/>
        </w:rPr>
        <w:footnoteReference w:id="2"/>
      </w:r>
      <w:r>
        <w:rPr>
          <w:rtl w:val="0"/>
          <w:lang w:val="fa-IR"/>
        </w:rPr>
        <w:t xml:space="preserve"> در اینجا حضرت می‏فرماید که در اینجا اوّلیت و آخریتی دیگر نیست. «</w:t>
      </w:r>
      <w:r>
        <w:rPr>
          <w:rStyle w:val="RevayatArabi"/>
          <w:rtl w:val="0"/>
          <w:lang w:val="fa-IR"/>
        </w:rPr>
        <w:t xml:space="preserve">فَیکونَ أوّلاً قَبلَ أن یکونَ آخِراً»</w:t>
      </w:r>
      <w:r>
        <w:rPr>
          <w:rtl w:val="0"/>
          <w:lang w:val="fa-IR"/>
        </w:rPr>
        <w:t xml:space="preserve"> اوّلیت و آخریت دیگر معنا ندارد.</w:t>
      </w:r>
    </w:p>
    <w:p>
      <w:pPr/>
      <w:r>
        <w:rPr>
          <w:rtl w:val="0"/>
          <w:lang w:val="fa-IR"/>
        </w:rPr>
        <w:t xml:space="preserve">در آیۀ قرآن داریم: </w:t>
      </w:r>
      <w:r>
        <w:rPr>
          <w:rtl w:val="0"/>
          <w:lang w:val="fa-IR"/>
        </w:rPr>
        <w:t xml:space="preserve">﴿وَٱلظَّٰهِرُ وَٱلۡبَاطِنُ﴾.</w:t>
      </w:r>
      <w:r>
        <w:rPr>
          <w:rtl w:val="0"/>
          <w:lang w:val="fa-IR"/>
        </w:rPr>
        <w:t xml:space="preserve"> در اینجا می‏فرماید: </w:t>
      </w:r>
      <w:r>
        <w:rPr>
          <w:rStyle w:val="RevayatArabi"/>
          <w:rtl w:val="0"/>
          <w:lang w:val="fa-IR"/>
        </w:rPr>
        <w:t xml:space="preserve">«و یکونَ ظاهراً قَبلَ أن یکونَ باطناً»</w:t>
      </w:r>
      <w:r>
        <w:rPr>
          <w:rtl w:val="0"/>
          <w:lang w:val="fa-IR"/>
        </w:rPr>
        <w:t xml:space="preserve"> دیگر در اینجا برای پروردگار ظهور معنا ندارد قبل از اینکه آن بطن و آن عمق بخواهد برای او درنظر گرفته بشود. چطور ما در اینجا باید تلفیق کنیم و توجیه کنیم که این مسئله به چه کیفیت است؟!</w:t>
      </w:r>
    </w:p>
    <w:p>
      <w:pPr/>
      <w:r>
        <w:rPr>
          <w:rtl/>
          <w:lang w:val="fa-IR"/>
        </w:rPr>
        <w:t xml:space="preserve">اگر این مطلب برای ما روشن بشود، آن کلماتی را که بزرگان و اصحاب شهود و کشف [فرمودند برای ما روشن می‌شود]. یااینکه روایاتی که در این باب هست که مقام اجمال را برای خود نفوس مطهره در آنجا اثبات می‏کند یا مقام علم را به‌نحو اجمال اثبات می‏کند.</w:t>
      </w:r>
    </w:p>
    <w:p>
      <w:pPr>
        <w:pStyle w:val="Heading6"/>
      </w:pPr>
      <w:r>
        <w:rPr>
          <w:rtl w:val="0"/>
          <w:lang w:val="fa-IR"/>
        </w:rPr>
        <w:t xml:space="preserve">کیفیت علم امام از لسان امام صادق علیه‌السّلام</w:t>
      </w:r>
    </w:p>
    <w:p>
      <w:pPr/>
      <w:r>
        <w:rPr>
          <w:rtl w:val="0"/>
          <w:lang w:val="fa-IR"/>
        </w:rPr>
        <w:t xml:space="preserve">مثلاً دربارۀ علم از امام صادق علیه‌السّلام سؤال می‏کنند که آیا علم شما علم تفصیلی است؟ آیا در هر آنی، علم تفصیلی است؟ حضرت می‏فرمایند که ما احاطه بر علمی داریم که «</w:t>
      </w:r>
      <w:r>
        <w:rPr>
          <w:rStyle w:val="RevayatArabi"/>
          <w:rtl w:val="0"/>
          <w:lang w:val="fa-IR"/>
        </w:rPr>
        <w:t xml:space="preserve">إذا نَشاءُ نَعلَم أو هم إذا شاءوا، عَلِموا»</w:t>
      </w:r>
      <w:r>
        <w:rPr>
          <w:rStyle w:val="FootnoteReference"/>
        </w:rPr>
        <w:footnoteReference w:id="3"/>
      </w:r>
      <w:r>
        <w:rPr>
          <w:rtl w:val="0"/>
          <w:lang w:val="fa-IR"/>
        </w:rPr>
        <w:t xml:space="preserve"> که در اینجا مسئله، مسئلۀ تعلق مشیت است و این مقام، مقام اجمال می‏شود؛ یعنی اگر مقام تفصیل باشد دیگر «</w:t>
      </w:r>
      <w:r>
        <w:rPr>
          <w:rStyle w:val="RevayatArabi"/>
          <w:rtl w:val="0"/>
          <w:lang w:val="fa-IR"/>
        </w:rPr>
        <w:t xml:space="preserve">إذا شاءوا عَلِموا»</w:t>
      </w:r>
      <w:r>
        <w:rPr>
          <w:rtl w:val="0"/>
          <w:lang w:val="fa-IR"/>
        </w:rPr>
        <w:t xml:space="preserve"> معنا ندارد. مقام تفصیل یعنی همه چیز، رو هست. الآن من پنج‌تا انگشت دارم، چه زمانی این پنج‌تا انگشتم برای شما ظاهر می‏شود؟ وقتی این‌طوری کنم اما وقتی این‌طوری کنم، شما شاید ببینید من چهار انگشتی هستم یا سه انگشتی هستیم، دوتای آن را مخفی کرده‏ایم. این مقام، مقام اجمال می‏شود. شما نمی‏بینید چیست. من الآن در دستم یک چیزی گرفته‏ام و به شما نشان نمی‏دهم. هست ولی شما نمی‏بینید، برای شما ظهور و بروز ندارد. مقام تفصیل وقتی است که دستم باز می‏شود. همین‌که دستم باز شد، شما اطلاع پیدا می‏کنید نه‌اینکه ایجاد می‏شود. تصور کنید! ایجاد نمی‏شود، باز می‏شود، هست، رو می‏شود و به منصۀ اثبات می‏رسد، ثبوتش هست و این اثباتش این است که شما اطلاع پیدا می‏کنید در دست من چیست! خب چطور در اینجا این مسئله را بخواهیم تصور کنیم که این قضیه درست بشود؟ در آنجایی که حضرت می‌فرمایند که این اوّلیت و آخریت برای خدا معنا ندارد و مقام ذات، مقام ثبوت است. همه چیز اوّل است در عین اینکه همه چیز آخر است و همه چیز ظاهر است در همان حالی که همه چیز باطن است! این از یک طرف.</w:t>
      </w:r>
    </w:p>
    <w:p>
      <w:pPr>
        <w:pStyle w:val="Heading6"/>
      </w:pPr>
      <w:r>
        <w:rPr>
          <w:rtl w:val="0"/>
          <w:lang w:val="fa-IR"/>
        </w:rPr>
        <w:t xml:space="preserve">معنای اول و آخر نسبت به پروردگار</w:t>
      </w:r>
    </w:p>
    <w:p>
      <w:pPr/>
      <w:r>
        <w:rPr>
          <w:rtl w:val="0"/>
          <w:lang w:val="fa-IR"/>
        </w:rPr>
        <w:t xml:space="preserve">از آن‌طرف در آیۀ قرآن داریم: </w:t>
      </w:r>
      <w:r>
        <w:rPr>
          <w:rtl w:val="0"/>
          <w:lang w:val="fa-IR"/>
        </w:rPr>
        <w:t xml:space="preserve">﴿هُوَ ٱلۡأَوَّلُ وَٱلۡأٓخِرُ﴾</w:t>
      </w:r>
      <w:r>
        <w:rPr>
          <w:rtl w:val="0"/>
          <w:lang w:val="fa-IR"/>
        </w:rPr>
        <w:t xml:space="preserve"> پس معلوم است که یک اوّلی باید باشد. خب آن روایت دارد نفی اوّلیت می‏کند اما آیه دارد اثبات اوّلیت می‏کند؛ </w:t>
      </w:r>
      <w:r>
        <w:rPr>
          <w:rtl w:val="0"/>
          <w:lang w:val="fa-IR"/>
        </w:rPr>
        <w:t xml:space="preserve">﴿هُوَ ٱلۡأَوَّلُ وَٱلۡأٓخِرُ﴾</w:t>
      </w:r>
      <w:r>
        <w:rPr>
          <w:rtl w:val="0"/>
          <w:lang w:val="fa-IR"/>
        </w:rPr>
        <w:t xml:space="preserve"> نمی‏فرماید که </w:t>
      </w:r>
      <w:r>
        <w:rPr>
          <w:rStyle w:val="Arabi"/>
          <w:rtl w:val="0"/>
          <w:lang w:val="fa-IR"/>
        </w:rPr>
        <w:t xml:space="preserve">لَیسَ بِأوّلٍ و لا آخِر</w:t>
      </w:r>
      <w:r>
        <w:rPr>
          <w:rtl w:val="0"/>
          <w:lang w:val="fa-IR"/>
        </w:rPr>
        <w:t xml:space="preserve">، آیه نداریم </w:t>
      </w:r>
      <w:r>
        <w:rPr>
          <w:rStyle w:val="Arabi"/>
          <w:rtl w:val="0"/>
          <w:lang w:val="fa-IR"/>
        </w:rPr>
        <w:t xml:space="preserve">لَیسَ بِظاهرٍ و لا باطِن</w:t>
      </w:r>
      <w:r>
        <w:rPr>
          <w:rtl w:val="0"/>
          <w:lang w:val="fa-IR"/>
        </w:rPr>
        <w:t xml:space="preserve">. بعد می‏فرماید: </w:t>
      </w:r>
      <w:r>
        <w:rPr>
          <w:rtl w:val="0"/>
          <w:lang w:val="fa-IR"/>
        </w:rPr>
        <w:t xml:space="preserve">﴿وَٱلظَّٰهِرُ وَٱلۡبَاطِنُ﴾</w:t>
      </w:r>
      <w:r>
        <w:rPr>
          <w:rtl w:val="0"/>
          <w:lang w:val="fa-IR"/>
        </w:rPr>
        <w:t xml:space="preserve"> بعد می‌فرماید: </w:t>
      </w:r>
      <w:r>
        <w:rPr>
          <w:rtl w:val="0"/>
          <w:lang w:val="fa-IR"/>
        </w:rPr>
        <w:t xml:space="preserve">﴿وَهُوَ بِكُلِّ شَيۡءٍ عَلِيمٌ﴾</w:t>
      </w:r>
      <w:r>
        <w:rPr>
          <w:rtl w:val="0"/>
          <w:lang w:val="fa-IR"/>
        </w:rPr>
        <w:t xml:space="preserve"> که دقیقاً این </w:t>
      </w:r>
      <w:r>
        <w:rPr>
          <w:rtl w:val="0"/>
          <w:lang w:val="fa-IR"/>
        </w:rPr>
        <w:t xml:space="preserve">﴿وَهُوَ بِكُلِّ شَيۡءٍ عَلِيمٌ﴾</w:t>
      </w:r>
      <w:r>
        <w:rPr>
          <w:rtl w:val="0"/>
          <w:lang w:val="fa-IR"/>
        </w:rPr>
        <w:t xml:space="preserve"> به هردوی اینها چنان برمی‌گردد که نشان می‏دهد ظهور، بطون، اول و آخر در علم ذات پروردگار است. در همان مرتبۀ علم حق به همۀ اعیان است که جنبۀ ظاهر و باطن متبلور می‏شود و در همان‌جا هست که جنبۀ اوّلیت و جنبۀ آخریت تحقق پیدا می‏کند؛ یعنی همان علم، همان جنبۀ علمی ‏است که آن جنبۀ علمی به لحاظ جنبۀ وجودی است چون اشیاء، وجود علمی و وجود عینی دارند و علم پروردگار به حیثیت عینیۀ اشیاء برمی‌گردد نه به حیثیت صوریۀ آنها و به حیثیت علمیۀ عرضی آنها مانند ما، که این علوم بر ما جنبۀ عرضی دارند، از این نقطه‌نظر است که </w:t>
      </w:r>
      <w:r>
        <w:rPr>
          <w:rtl w:val="0"/>
          <w:lang w:val="fa-IR"/>
        </w:rPr>
        <w:t xml:space="preserve">﴿هُوَ ٱلۡأَوَّلُ وَٱلۡأٓخِرُ﴾</w:t>
      </w:r>
      <w:r>
        <w:rPr>
          <w:rtl w:val="0"/>
          <w:lang w:val="fa-IR"/>
        </w:rPr>
        <w:t xml:space="preserve"> می‏شود و به همین جهت علمی است که </w:t>
      </w:r>
      <w:r>
        <w:rPr>
          <w:rtl w:val="0"/>
          <w:lang w:val="fa-IR"/>
        </w:rPr>
        <w:t xml:space="preserve">﴿وَٱلظَّٰهِرُ وَٱلۡبَاطِنُ﴾</w:t>
      </w:r>
      <w:r>
        <w:rPr>
          <w:rtl w:val="0"/>
          <w:lang w:val="fa-IR"/>
        </w:rPr>
        <w:t xml:space="preserve"> می‏شود و اگر لحاظ علمی نبود دیگر </w:t>
      </w:r>
      <w:r>
        <w:rPr>
          <w:rtl w:val="0"/>
          <w:lang w:val="fa-IR"/>
        </w:rPr>
        <w:t xml:space="preserve">﴿هُوَ ٱلۡأَوَّلُ وَٱلۡأٓخِرُ﴾</w:t>
      </w:r>
      <w:r>
        <w:rPr>
          <w:rtl w:val="0"/>
          <w:lang w:val="fa-IR"/>
        </w:rPr>
        <w:t xml:space="preserve"> در اینجا معنا نداشت و </w:t>
      </w:r>
      <w:r>
        <w:rPr>
          <w:rtl w:val="0"/>
          <w:lang w:val="fa-IR"/>
        </w:rPr>
        <w:t xml:space="preserve">﴿وَٱلظَّٰهِرُ وَٱلۡبَاطِنُ﴾</w:t>
      </w:r>
      <w:r>
        <w:rPr>
          <w:rtl w:val="0"/>
          <w:lang w:val="fa-IR"/>
        </w:rPr>
        <w:t xml:space="preserve"> در اینجا معنا نداشت. خب ما این را در اینجا گفتیم و حالا به مسائل گذشته برمی‏گردیم.</w:t>
      </w:r>
    </w:p>
    <w:p>
      <w:pPr/>
      <w:r>
        <w:rPr>
          <w:rtl w:val="0"/>
          <w:lang w:val="fa-IR"/>
        </w:rPr>
        <w:t xml:space="preserve">با توجه به مطالبی که در جلسات قبل نسبت به این عالم ثبوت در ذات پروردگار و در مراتب اسماء و صفات گفتیم و عرض شد که اگر تغیّر و تبدّل، تغیّر و تبدّل عینی باشد و تغیّر و تبدّل خارجی باشد، معنایش این است که در نفس اجمال و مقام اجمال که همان مقام علم و علمیت پروردگار نسبت به اشیاء خارجی و نسبت به ظهورات هست در آن مقام اجمال، ذات نسبت به تغیّر و [تبدّل] نباید عالِم باشد چون جنبۀ عدمی دارد! تغیّر در اینجا جنبۀ عدمی دارد. وقتی که هنوز اعیان خارجی تحقق خارجی پیدا نکرده‏اند، ذات پروردگار به چه چیز عالِم است؟ علم ندارد! عدم است!</w:t>
      </w:r>
    </w:p>
    <w:p>
      <w:pPr/>
      <w:r>
        <w:rPr>
          <w:rtl/>
          <w:lang w:val="fa-IR"/>
        </w:rPr>
        <w:t xml:space="preserve">من‌باب‌مثال شما الآن فرض کنید می‏دانید که بالأخره بعد از چند دقیقه ـ حالا یک ربع بیست دقیقه ـ این صحبت‌ها و بحث تمام می‌شود و ما از این در خارج می‏شویم و به‌طرف منزل یا هرجایی که قصد داریم می‏رویم. همۀ ما که در اینجا نشسته‏ایم نسبت به این قضیه اطلاع داریم و برای خودمان یک مطلب ثابتی فرض می‏کنیم و می‌گوییم که می‏رویم و تمام می‏شود، بالأخره این آقا چقدر حرف می‏زند؟! چانه‏اش یک حدی دارد!! وقتی که این چانه‏اش از [حرکت] افتاد می‌رویم ـ چانۀ بعضی‏ها یک ساعت، بعضی‏ها دو ساعت، بعضی‏ها سه ساعت و بعضی‏ها ماشاءالله حدی ندارد و اصلاً وصل به کُر است!! ـ بالأخره تا یک ربع بیست دقیقه دیگر تمام می‏شود و خلاصه ازدستش راحت می‏شویم. الآن ما این را یک مطلب عادی می‏دانیم درحالی‌که از نقطه‌نظر فنی و از نقطه‌نظر منطقی اصلاً اطلاع نداریم! هیچ اطلاع نداریم! شاید یک بمبی اینجا خورد و همۀ ما شهید شدیم و به هوا رفتیم! هیچ اعتباری ندارد! اوضاع و بساط هیچ حساب و کتابی ندارد و همیشه ما باید برای ملاقات پروردگار آمادگی داشته باشیم به‌خصوص در این زمانه که خوب حالت توکل انسان بالا می‏رود!! این از برکات و نعمات الهیه است که ما را در یک وضعیتی قرار داده که همیشه حال توکل به پروردگار داشته باشیم و مشتاق لقاء پروردگار باشیم! البته اگر وزر و وبالی با خود نداشته باشیم والاّ طبعاً باید برای آن قضیه فکری کرد. خوش به حال آنهایی که بله ... «خوشا آنان که دائم در نمازند» ...، «بهشت جاودان مأوایشان بید».</w:t>
      </w:r>
      <w:r>
        <w:rPr>
          <w:rStyle w:val="FootnoteReference"/>
        </w:rPr>
        <w:footnoteReference w:id="4"/>
      </w:r>
    </w:p>
    <w:p>
      <w:pPr/>
      <w:r>
        <w:rPr>
          <w:rtl/>
          <w:lang w:val="fa-IR"/>
        </w:rPr>
        <w:t xml:space="preserve">دائم در حال توجه‌اند، دائم در حال حضورند، دائم تشنه‏اند، دائم منتظر و دائم نگران هستند که چرا نمی‏آید؟ چرا این قضیه نمی‏آید و نمی‏رسد و کار تمام نمی‏شود؟! اما اگر نه، بار روی خودمان گذاشتیم و شانه‏مان سنگین باشد و گُرده‏مان از تعلقات سنگین باشد [آن‌وقت طور دیگری خواهد شد]. آیا تابه‌حال شده گاهی خودمان را تست کنیم؟! به خودمان تست بزنیم ببینیم که چقدر آمادگی داریم؟! بیایند بگویند که بفرما، چقدر می‏توانیم؟! آیا همان آن می‏گوییم: بله یااینکه یک‌خرده صبر می‏کنیم بنشینیم فکر کنیم و این‌طرف و آن‌طرف کنیم و [می‌گوییم که] نه خب حالا عیب ندارد یا بعد بنشینیم و ‏بگوییم که مثلاً می‏شود یک مهلتی [بدهید]؟ آیا می‌شود یک مهلت یک هفته‌ای دو هفته‏ای [بدهید]؟ یااینکه نه! آن‌قدر وزر و وبال بر گُردۀ خود سوار کرده‌ایم و آن‌قدر در این دنیا دست و پای ما و اعمال ما به کارهایی که کرده‏ایم پیچیده است که اصلاً نمی‏خواهیم مجال تفکر را حتی به این بدهیم! می‏شود ها! آدم به یک جایی می‏رسد که حتی از فکر کردنش می‏ترسد و فرار می‏کند، فکر نمی‏کند! از فکر کردن [فرار می‌کند] چون می‏بیند به بن‏بست می‏رسد! کجا برود؟! بَه! چوب‏ها آماده است، بله! مشعل‏ها دارد بالا می‏رود و فضا نورانی است! یک مشعل برایش گذاشته‏اند که تمام صحرا را روشن کرده است! بفرمایید می‏خواهیم از شما استقبال کنیم! اینجاست که آدم مدام به کارها، به برنامه‏ها، به مسائلش، به حق‌الناس‏هایی که دارد و چیزهایی که بر گردنش بوده برمی‌گردد! حالا چیزهایی که با خدا دارد را می‏شود یک کاری کرد اما حق‌الناس را چه‌کار می‏کنیم؟! بلاهایی که بر سر مردم آوردیم چه‌کار می‏کنیم؟!</w:t>
      </w:r>
    </w:p>
    <w:p>
      <w:pPr>
        <w:pStyle w:val="Heading6"/>
      </w:pPr>
      <w:r>
        <w:rPr>
          <w:rtl w:val="0"/>
          <w:lang w:val="fa-IR"/>
        </w:rPr>
        <w:t xml:space="preserve">تأثیر تفکر در مرگ بر رفتار</w:t>
      </w:r>
    </w:p>
    <w:p>
      <w:pPr/>
      <w:r>
        <w:rPr>
          <w:rtl w:val="0"/>
          <w:lang w:val="fa-IR"/>
        </w:rPr>
        <w:t xml:space="preserve">واقعاً من گاهی اوقات تعجب می‏کنم این افراد و اشخاصی که در این دنیا پیدا می‏شوند و از تعدّی به مال و جان و ناموس مردم ابا ندارند، اینها چگونه تفکر می‏کنند؟! درعین‌حال اعتقادی هم دارند هان! بالأخره مسلمان هستند! حالا مسلمان هستند یا خودشان را شیعه هم می‏دانند، شیعۀ امیرالمؤمنین! نه‌اینکه حالا آدم بی‏دینِ فلان باشد. چطور می‏شود تصور فردایی را [داشته باشد اما این کارها را بکند]؟! این‌قدر امیرالمؤمنین علیه‌السّلام در </w:t>
      </w:r>
      <w:r>
        <w:rPr>
          <w:rtl w:val="0"/>
          <w:lang w:val="fa-IR"/>
        </w:rPr>
        <w:t xml:space="preserve">نهج‌البلاغه</w:t>
      </w:r>
      <w:r>
        <w:rPr>
          <w:rtl w:val="0"/>
          <w:lang w:val="fa-IR"/>
        </w:rPr>
        <w:t xml:space="preserve"> مدام می‏فرماید که تفکر در موت کنید!</w:t>
      </w:r>
      <w:r>
        <w:rPr>
          <w:rStyle w:val="FootnoteReference"/>
        </w:rPr>
        <w:footnoteReference w:id="5"/>
      </w:r>
      <w:r>
        <w:rPr>
          <w:rtl w:val="0"/>
          <w:lang w:val="fa-IR"/>
        </w:rPr>
        <w:t xml:space="preserve"> تفکر در موت کنید به‌خاطر همین است! کسی که یک تفکر داشته باشد و یک خطور مرگ در زندگی‏اش داشته باشد نمی‏تواند دیگر هر کاری بکند، دیگر دستش به ماشه نمی‏رود که یک جانی را بی‏جان کند و دیگر نمی‏تواند یک تعدّی کند و یک مالی را از یک بدبخت و بیچاره‏ای بردارد و بعد هم الفرار! نمی‏تواند این کار را بکند. دیگر نمی‏تواند پول‌ها و امکانات یک ملّتی را بردارد و همه را به هوا بدهد، ببریم حالا هرچه شد که شد! اصلاً نمی‏تواند این کار را بکند، می‏لرزد، دستش می‏لرزد! به همین جهت است که مدام می‌گویند که باید به فکر مرگ باشید! آقاجان! آن قطاری که بقیه داخل آن سوار شده‏اند و حرکت کرده‏اند و هر کسی را در یک ایستگاه پیاده کرده است تو را هم در یک ایستگاه پیاده می‏کند! نگاه به این دو سه‌تایی که در اطرافت هستند نکن! آنها هم مثل تو هشتشان گرو هشتادشان است!</w:t>
      </w:r>
    </w:p>
    <w:p>
      <w:pPr>
        <w:pStyle w:val="Heading6"/>
      </w:pPr>
      <w:r>
        <w:rPr>
          <w:rtl w:val="0"/>
          <w:lang w:val="fa-IR"/>
        </w:rPr>
        <w:t xml:space="preserve">حالات بزرگان در مواجهه با مرگ</w:t>
      </w:r>
    </w:p>
    <w:p>
      <w:pPr/>
      <w:r>
        <w:rPr>
          <w:rtl w:val="0"/>
          <w:lang w:val="fa-IR"/>
        </w:rPr>
        <w:t xml:space="preserve">لذا ما غفلت می‏کنیم! غفلت می‏کنیم از اینکه فردایی هست! غفلت می‏کنیم از اینکه حساب و کتابی هست! غفلت می‏کنیم از اینکه بار خودمان را کم کنیم ولی بزرگان این‌طور نبودند! خودمان هم دیده‏ایم، دیده‏ایم که وقتی اسم مرگ می‏آمد اصلاً شکفته می‏شدند! اینکه چه زمانی می‏خواهد بیاید! خبری داری به ما بدهی؟ از این جناب انتقال اطلاعی دارید؟ دیده‏ایم‏ها! دروغ نمی‏گوییم! دیده‏ایم که چطور انتظار می‏کشیدند! به ما می‏گفتند که دیگر بس است، مگر آدم چقدر در این دنیا باید بماند؟! همه چیز را دیدیم آقا! چقدر می‌خواهیم بمانیم؟! دیدیم!</w:t>
      </w:r>
    </w:p>
    <w:p>
      <w:pPr/>
      <w:r>
        <w:rPr>
          <w:rtl w:val="0"/>
          <w:lang w:val="fa-IR"/>
        </w:rPr>
        <w:t xml:space="preserve">اینها آنهایی هستند که لحظه‏شماری می‏کنند، اینها آنهایی‏ هستند که اگر به آنها بگویند: </w:t>
      </w:r>
      <w:r>
        <w:rPr>
          <w:rStyle w:val="RevayatArabi"/>
          <w:rtl w:val="0"/>
          <w:lang w:val="fa-IR"/>
        </w:rPr>
        <w:t xml:space="preserve">«کیفَ المَوتُ عِندَک»</w:t>
      </w:r>
      <w:r>
        <w:rPr>
          <w:rtl w:val="0"/>
          <w:lang w:val="fa-IR"/>
        </w:rPr>
        <w:t xml:space="preserve"> در جواب می‏گویند: </w:t>
      </w:r>
      <w:r>
        <w:rPr>
          <w:rStyle w:val="RevayatArabi"/>
          <w:rtl w:val="0"/>
          <w:lang w:val="fa-IR"/>
        </w:rPr>
        <w:t xml:space="preserve">«أحلیٰ مِنَ العَسل</w:t>
      </w:r>
      <w:r>
        <w:rPr>
          <w:rtl w:val="0"/>
          <w:lang w:val="fa-IR"/>
        </w:rPr>
        <w:t xml:space="preserve">!»</w:t>
      </w:r>
      <w:r>
        <w:rPr>
          <w:rStyle w:val="FootnoteReference"/>
        </w:rPr>
        <w:footnoteReference w:id="6"/>
      </w:r>
      <w:r>
        <w:rPr>
          <w:rtl w:val="0"/>
          <w:lang w:val="fa-IR"/>
        </w:rPr>
        <w:t xml:space="preserve"> اینها این هستند، اینها این‏طوری‏ هستند. خوش به حالشان! علیٰ‌کلّ‌حال این‏طور نیست که ما ندیده باشیم منتها باید سعی کنیم که از بارمان کم کنیم و از وزر و وبال کم کنیم.</w:t>
      </w:r>
    </w:p>
    <w:p>
      <w:pPr/>
      <w:r>
        <w:rPr>
          <w:rtl w:val="0"/>
          <w:lang w:val="fa-IR"/>
        </w:rPr>
        <w:t xml:space="preserve">این مقام ثبوتی که در اینجا برای ذات هست دیگر چطور می‏شود تغییر و تحوّل در آن باشد؟! به چه قِسم می‏شود در اینجا تصور تغییر و تحوّل کرد؟! اگر تغییر و تحوّلی در خارج هنوز انجام نشده و اگر اعیان خارجی هنوز تحقق پیدا نکرده‏اند مثل الآن، الآن اعیان خارجی تا الآن تحقق پیدا کرده‏اند اما برای پنج دقیقه دیگر چطور؟ تحقق ندارند! برای نیم ساعت دیگر چطور؟ البته طبق افکار ما! والاّ همۀ شما الآن می‏دانید که این حرف‌ها حرف‌های عامیانه است. همه چیز در خارج تحقق دارد؛ چشم ما بسته است! الآن فرض کنید این انگشتری که در دستم هست و همه دارید می‌بینید این انگشتر را در دستم می‏گیرم [و پنهان می‌کنم] و می‏گویم که چیست آقا؟ می‏گویید که نمی‏دانیم.</w:t>
      </w:r>
    </w:p>
    <w:p>
      <w:pPr/>
      <w:r>
        <w:rPr>
          <w:rtl w:val="0"/>
          <w:lang w:val="fa-IR"/>
        </w:rPr>
        <w:t xml:space="preserve">انگشتر هست [اما نمی‌بینید] وقتی دست را باز می‏کنم همه می‌بینید این چیست! انگشتر در دست من هست و این‌طور نیست که بعد قرار بگیرد بلکه انگشتر در دست من هست منتها دست من برای شما باز نیست، نمی‏بینید. حالا اگر شما بدون اینکه من دستم را باز کنم با یکی از این دستگاه‏هایی که با اشعه کار می‏کند و محتویات ساک‏ها را می‏بینند، وقتی آدم می‏خواهد جایی برود ساک را در دستگاه می‌گذارند و با آن اشعه داخل ساک را می‏بینند تا چیز [خطرناکی] نداشته باشد، او دارد می‏بیند که داخل این دستمال هست، کفش هست، کیف هست، لباس و ... هست. همۀ اینها را دارد تماشا می‏کند. ما نمی‏بینیم اما او دارد با آن اشعه می‏بیند. حالا اگر یک اشعه بگذارند ولو دست باز نکرده، شما دارید [داخل دست را] می‌بینید و مشاهده می‏کنید که آنچه که آقا در دستش نگه داشته است این انگشتر هست. اگر قرار بر این باشد که تغییر و تحوّل بعداً انجام بشود و قبلاً نبوده است پس این تغییر و تحوّل یک امر عدمی خواهد بود. این نحوۀ استدلال بر این مسئله به این کیفیت، بسیار مسئله را راحت و خیلی آسان می‏کند از اینکه انسان به این مسئله برسد.</w:t>
      </w:r>
    </w:p>
    <w:p>
      <w:pPr/>
      <w:r>
        <w:rPr>
          <w:rtl w:val="0"/>
          <w:lang w:val="fa-IR"/>
        </w:rPr>
        <w:t xml:space="preserve">اینجاست که ما کلام امیرالمؤمنین علیه‌السّلام و روایاتی که دلالت بر ثبوت و بر یک کَونْ استمراری در وجود می‏کند نسبت به ذات پروردگار و نسبت به مقام علم حق و مقام علم عنائی حق، برای ما روشن می‏شود که هیچ تغییری و تحوّلی در ذات پروردگار نمی‏تواند وجود داشته باشد. ذات پروردگار همان‏طوری‌که یک امر مستمر...؛ حالا مستمر به معنای نفس الکونْ، نه به معنای استمرار که به معنای [تحقق] باشد چون وقتی که شما زمان را از ذات بردارید دیگر در اینجا استمرار معنا ندارد. استمرار به آن حدثی گفته می‏شود که آن استمرار، زمان ماضی و حال و آینده دارد مثل </w:t>
      </w:r>
      <w:r>
        <w:rPr>
          <w:rStyle w:val="Arabi"/>
          <w:rtl w:val="0"/>
          <w:lang w:val="fa-IR"/>
        </w:rPr>
        <w:t xml:space="preserve">ضرب</w:t>
      </w:r>
      <w:r>
        <w:rPr>
          <w:rtl w:val="0"/>
          <w:lang w:val="fa-IR"/>
        </w:rPr>
        <w:t xml:space="preserve"> و </w:t>
      </w:r>
      <w:r>
        <w:rPr>
          <w:rStyle w:val="Arabi"/>
          <w:rtl w:val="0"/>
          <w:lang w:val="fa-IR"/>
        </w:rPr>
        <w:t xml:space="preserve">أکل</w:t>
      </w:r>
      <w:r>
        <w:rPr>
          <w:rtl w:val="0"/>
          <w:lang w:val="fa-IR"/>
        </w:rPr>
        <w:t xml:space="preserve"> و </w:t>
      </w:r>
      <w:r>
        <w:rPr>
          <w:rStyle w:val="Arabi"/>
          <w:rtl w:val="0"/>
          <w:lang w:val="fa-IR"/>
        </w:rPr>
        <w:t xml:space="preserve">نوم</w:t>
      </w:r>
      <w:r>
        <w:rPr>
          <w:rtl w:val="0"/>
          <w:lang w:val="fa-IR"/>
        </w:rPr>
        <w:t xml:space="preserve">. </w:t>
      </w:r>
      <w:r>
        <w:rPr>
          <w:rStyle w:val="Arabi"/>
          <w:rtl w:val="0"/>
          <w:lang w:val="fa-IR"/>
        </w:rPr>
        <w:t xml:space="preserve">نوم</w:t>
      </w:r>
      <w:r>
        <w:rPr>
          <w:rtl w:val="0"/>
          <w:lang w:val="fa-IR"/>
        </w:rPr>
        <w:t xml:space="preserve"> از یک جا نوم شروع می‏شود و به یک جا ختم می‏شود؛ شخص پنج ساعت می‏خوابد، شش ساعت می‏خوابد، چهار ساعت می‏خوابد، یک ابتدایی دارد و یک انتهایی دارد. حالا اگر شخصی یک نوم ممتد داشته باشد دیگر اول نداشته باشد به این دیگر مستمر اطلاق نمی‏شود و این نوم برای خود او ثابت خواهد بود.</w:t>
      </w:r>
    </w:p>
    <w:p>
      <w:pPr>
        <w:pStyle w:val="Heading6"/>
      </w:pPr>
      <w:r>
        <w:rPr>
          <w:rtl w:val="0"/>
          <w:lang w:val="fa-IR"/>
        </w:rPr>
        <w:t xml:space="preserve">عدم وجود جنبۀ ماضوی و استقلالی در ذات و علم پروردگار</w:t>
      </w:r>
    </w:p>
    <w:p>
      <w:pPr/>
      <w:r>
        <w:rPr>
          <w:rtl w:val="0"/>
          <w:lang w:val="fa-IR"/>
        </w:rPr>
        <w:t xml:space="preserve">ذات پروردگار همان‌طوری‌که در ذات خود جنبۀ ماضوی و جنبۀ استقبالی ندارد، همین‌طور آن علم پروردگار نسبت به ذات نیز جنبۀ گذشته و حال و آینده هم ندارد چون آن علم علم لازمۀ ذات است و چگونه ممکن است که ذات در مرحله‏ای از مراحل و مرتبه‏ای از مراتب و برهه‏ای از برهه‏ها فاقد مقام علمیت خودش باشد؟! این مُستحیل است!</w:t>
      </w:r>
    </w:p>
    <w:p>
      <w:pPr/>
      <w:r>
        <w:rPr>
          <w:rtl w:val="0"/>
          <w:lang w:val="fa-IR"/>
        </w:rPr>
        <w:t xml:space="preserve">مثل اینکه ذات در یک مرتبه از مراتب فاقد قدرت باشد، این مستحیل است. فاقد علم باشد، مستحیل است. این اوصاف و این اسماء، لازمۀ ذاتی ذات است؛ یا باید ذات را انکار کنیم یا اگر اثبات ذات کردیم و اثبات ثبوت برای ذات ازلاً و أبداً کردیم باید علم و قدرت و حیات که آن حیات جنبۀ همان [نفس استمرار بقاء ذات است] را هم به همان کیفیتی که نفس ذات اثبات می‏شود، آن‌هم برای ذات اثبات می‏شود و وقتی که علم و قدرت برای ذات اثبات شد، آن علم او نسبت به اعیان [اثبات می‌شود] اگر این اعیان خارجی نبود، خیالمان راحت بود! ذات نه ظهوری دارد و نه بروزی دارد، نه خلقی دارد و نه مخلوقی دارد، نه اراده‏ای دارد و نه مشیتی دارد، هیچی ندارد! خودش ذات است و آن مقام صرافت در خودش است و مقام احدیت الذاتش هست و هیچ در اینجا مسئله و مشکلی نیست! دیگر در اینجا جای بحث هم نیست چون ما نیستیم تااینکه بخواهیم بحثش را بکنیم! هیچ ظهوری در اینجا ندارد.</w:t>
      </w:r>
    </w:p>
    <w:p>
      <w:pPr/>
      <w:r>
        <w:rPr>
          <w:rtl w:val="0"/>
          <w:lang w:val="fa-IR"/>
        </w:rPr>
        <w:t xml:space="preserve">و این مطلب خیلی مطلب دقیقی است که چطور اگر ما به این مسئله اطلاع پیدا کنیم، آن روایاتی که بعد می‏آید، یا آیاتی که می‏گوید: </w:t>
      </w:r>
      <w:r>
        <w:rPr>
          <w:rtl w:val="0"/>
          <w:lang w:val="fa-IR"/>
        </w:rPr>
        <w:t xml:space="preserve">﴿لِّمَنِ ٱلۡمُلۡكُ ٱلۡيَوۡمَ لِلَّهِ ٱلۡوَٰحِدِ ٱلۡقَهَّارِ﴾</w:t>
      </w:r>
      <w:r>
        <w:rPr>
          <w:rStyle w:val="FootnoteReference"/>
        </w:rPr>
        <w:footnoteReference w:id="7"/>
      </w:r>
      <w:r>
        <w:rPr>
          <w:rtl w:val="0"/>
          <w:lang w:val="fa-IR"/>
        </w:rPr>
        <w:t xml:space="preserve"> </w:t>
      </w:r>
      <w:r>
        <w:rPr>
          <w:rtl w:val="0"/>
          <w:lang w:val="fa-IR"/>
        </w:rPr>
        <w:t xml:space="preserve">و روایاتی که دارد همۀ اشیاء به مقام فناء می‏روند و محو می‏شوند دوباره پروردگار آنها را خلق می‏کند که در همۀ اینها اشکالات شده و مشکلاتی از نقطه‌نظر سوء فهم نسبت به محتوا و مفاهیم این روایات و احادیث وارده هست، این مطلب و قضیه در آنجا هم حل می‏شود!</w:t>
      </w:r>
    </w:p>
    <w:p>
      <w:pPr/>
      <w:r>
        <w:rPr>
          <w:rtl w:val="0"/>
          <w:lang w:val="fa-IR"/>
        </w:rPr>
        <w:t xml:space="preserve">وقتی که ما نسبت به مقام آثار و بروزات و ظهورات ذات نگاه بکنیم که تمام آنچه که در این عالم از این عالم مجردات و از عوالم مادی هرچه هست، اگر بخواهیم به آن توجه بکنیم می‏دانیم که همۀ اینها مسبوق به علم ربوبی است. مسبوق است یا سابق است؟! اول اینها بودند بعد خدا؟!</w:t>
      </w:r>
    </w:p>
    <w:p>
      <w:pPr/>
      <w:r>
        <w:rPr>
          <w:rtl w:val="0"/>
          <w:lang w:val="fa-IR"/>
        </w:rPr>
        <w:t xml:space="preserve">علم ما مسبوق به اشیاء خارجی است و تا این در خارج نباشد من به این اطلاع پیدا نمی‏کنم، باید باشد. پس اول این هست بعد علم من نسبت به این است. قاعده همین است و علوم اکتسابی همین است.</w:t>
      </w:r>
    </w:p>
    <w:p>
      <w:pPr>
        <w:pStyle w:val="Heading6"/>
      </w:pPr>
      <w:r>
        <w:rPr>
          <w:rtl w:val="0"/>
          <w:lang w:val="fa-IR"/>
        </w:rPr>
        <w:t xml:space="preserve">علم انسان ملاصق با نفس اشیاء</w:t>
      </w:r>
    </w:p>
    <w:p>
      <w:pPr/>
      <w:r>
        <w:rPr>
          <w:rtl w:val="0"/>
          <w:lang w:val="fa-IR"/>
        </w:rPr>
        <w:t xml:space="preserve">حالا علم خودِ من نسبت به خود من و علم خود من نسبت به ذات و علم خود من نسبت به کیفیات، این علم چیست؟! این علم همیشه ملاصق با نفس ذات و ملاصق با خود همان اشیاء است. حالا آن مسئله را به‌عکس می‏کنیم یعنی فرض کنید شما می‏آیید یک امری را در خارج متحققش می‏کنید، آن اشیاء را درست می‏کنید، نقشه‏ای را درست می‏کنید، چیزی را روی کاغذ می‏کشید، یک مطلبی را روی دیوار می‏نویسید و یا روی تخته یک چیزی را می‌نویسید. این نوشتن شما مسبوق به علم است یا سابق بر علم است؟! در اینجا جای اینها عوض می‏شود. این مسبوق به علم است. اول علم شما نسبت به آنچه که می‏خواهید بنویسید بوده است و بعد آن معلوم بالذات را تبدیل به معلوم بالعرض می‏کنید. آنچه را که می‏نویسید معلوم بالعرض است. معلوم بالذات شما مقدم بر معلوم بالعرض است. اول در ذات شما نقش بسته بعد در خارج نقش بسته است. به‌عکس که اگر کسی بیاید یک چیزی را بنویسد آنگاه شما بیایید نگاه کنید که اول معلوم بالعرض است و بعد تبدیل به معلوم بالذات می‏شود که آن معلوم بالذات قائم به نفس است. در اینجا مسئله به‌عکس است.</w:t>
      </w:r>
    </w:p>
    <w:p>
      <w:pPr/>
      <w:r>
        <w:rPr>
          <w:rtl w:val="0"/>
          <w:lang w:val="fa-IR"/>
        </w:rPr>
        <w:t xml:space="preserve">حالا در مورد پروردگار، دو دوتا چهارتا است! راحت و آسان! این اشیاء و تمام این اعیان خارجی که در خارج هستند، اینها اول بودند و بعد علم پروردگار به آنها تعلق گرفت یا اول علم پروردگار بود بعد اینها در خارج تحقق پیدا کردند؟! خب مشخص است که اول علم پروردگار بر این تحقق اشیاء خارجی سابق است. حالا صحبت در این است که این علم پروردگار به چه چیزی تعلق گرفته است؟! به علم تعلق گرفته یا به صورت تعلق گرفته است؟! گفتیم که صورت بدون محکی معنا ندارد که در خارج یک محکی داشته باشد. آن علم وقتی که به نفس آن عین تعلق می‏گیرد، اگر به صورت او </w:t>
      </w:r>
      <w:r>
        <w:rPr>
          <w:rStyle w:val="Arabi"/>
          <w:rtl w:val="0"/>
          <w:lang w:val="fa-IR"/>
        </w:rPr>
        <w:t xml:space="preserve">قبلَ العین</w:t>
      </w:r>
      <w:r>
        <w:rPr>
          <w:rtl w:val="0"/>
          <w:lang w:val="fa-IR"/>
        </w:rPr>
        <w:t xml:space="preserve"> باشد پس هنوز این تحوّل و تبدّل در خارج انجام نشده است و وقتی که در خارج انجام نشود یعنی معدوم است. معنای معدوم یعنی </w:t>
      </w:r>
      <w:r>
        <w:rPr>
          <w:rStyle w:val="Arabi"/>
          <w:rtl w:val="0"/>
          <w:lang w:val="fa-IR"/>
        </w:rPr>
        <w:t xml:space="preserve">لا یُخبَر و لا یُخبرُ بِه</w:t>
      </w:r>
      <w:r>
        <w:rPr>
          <w:rtl w:val="0"/>
          <w:lang w:val="fa-IR"/>
        </w:rPr>
        <w:t xml:space="preserve"> است. بنابراین علم به یک امر معدومی تعلق گرفته است و تعلق علم به امر معدوم مستحیل است!</w:t>
      </w:r>
    </w:p>
    <w:p>
      <w:pPr>
        <w:pStyle w:val="Heading6"/>
      </w:pPr>
      <w:r>
        <w:rPr>
          <w:rtl w:val="0"/>
          <w:lang w:val="fa-IR"/>
        </w:rPr>
        <w:t xml:space="preserve">شکل‌گیری عالم ثبوت</w:t>
      </w:r>
    </w:p>
    <w:p>
      <w:pPr/>
      <w:r>
        <w:rPr>
          <w:rtl w:val="0"/>
          <w:lang w:val="fa-IR"/>
        </w:rPr>
        <w:t xml:space="preserve">حالا این علم پروردگار که همان علم عنائی باشد پس تعلق گرفته است به معلومی که خود آن معلوم هم متحقق است و در ظرف خارج وجود دارد، این عالم ثبوت می‏شود و این می‏شود همانی که ذات پروردگار نه در آن تغییری هست که اول باشد و نه در آن تغییری هست که آخر باشد. از یک اوّلی شروع بشود و به یک آخری ختم بشود. از مقام اراده و مشیت شروع بشود که مقام اجمال است بعد می‌آید به مقام تفصیل می‏رسد و عوالم ربوبی را طی می‏کند و اینجا انتها می‏شود درحالی‌که داریم که او اول نیست و او آخر نیست. اول و آخر به معنای تغییر و تحوّل دیگر در او معنایی ندارد در عین اینکه او هم اول است و هم آخر است. یعنی چه هم اول است و هم آخر است؟ یعنی هم نفس اجمال و هم نفس تفصیل، هردوی اینها در آن علم عنائی مندمج است. هم مقام اجمال و هم مقام تفصیل و هم مقام آن علیت و مبدأیت که ما از آن تعبیر به صرافت وجود می‏کنیم.</w:t>
      </w:r>
    </w:p>
    <w:p>
      <w:pPr/>
      <w:r>
        <w:rPr>
          <w:rtl w:val="0"/>
          <w:lang w:val="fa-IR"/>
        </w:rPr>
        <w:t xml:space="preserve">ذات پروردگار قبل از مقام ظهور مگر وجود بالصرافه نداشت؟! مگر قبل از تعیّن و قبل از ظهورات خارجی بسیط الحقیقه نبود؟! یعنی مگر نیست؟! ـ حالا «بود» غلط است ـ آن ذات پروردگار که برای وجودِ بسیط است و برای وجود بالصرافه است مگر آن اصل و منشأ برای تحولات و تعینات و آثار و بروزات نیست؟! خیلی خب! این مقام اجمال می‏شود! ببینید چقدر راحت قضیه حل شد! این وجود حق که وجود بالصرافه است و آن </w:t>
      </w:r>
      <w:r>
        <w:rPr>
          <w:rStyle w:val="Arabi"/>
          <w:rtl w:val="0"/>
          <w:lang w:val="fa-IR"/>
        </w:rPr>
        <w:t xml:space="preserve">بَسیطُ الحقیقةِ کُلُّ الأشیاء</w:t>
      </w:r>
      <w:r>
        <w:rPr>
          <w:rtl w:val="0"/>
          <w:lang w:val="fa-IR"/>
        </w:rPr>
        <w:t xml:space="preserve"> می‏آید بر اینجا حاکم می‏شود و آن وجود حقیقی که وجود مشکک است را فرض کنید بدون آثار و بدون ظهورات، بسیط الحقیقه می‏شود. همان وجود بسیط و وجود صرف که متبدل به آثار و ظهورات است، وقتی که آن به ظهور و تعیّن و به قالب‏گیری و مقام قدر جزئی متبدل می‏شود به آن مقام واحدیت می‏گویند، به آن مقام نزول اسماء و صفات می‏گویند، به آن مقام تعیّن و مقام تحول و تبدل می‏گویند و آن‌وقت به آن </w:t>
      </w:r>
      <w:r>
        <w:rPr>
          <w:rtl w:val="0"/>
          <w:lang w:val="fa-IR"/>
        </w:rPr>
        <w:t xml:space="preserve">﴿هُوَ ٱلۡأَوَّلُ وَٱلۡأٓخِرُ﴾</w:t>
      </w:r>
      <w:r>
        <w:rPr>
          <w:rtl w:val="0"/>
          <w:lang w:val="fa-IR"/>
        </w:rPr>
        <w:t xml:space="preserve"> می‏گویند! این آیه اینجا می‏آید.</w:t>
      </w:r>
    </w:p>
    <w:p>
      <w:pPr/>
      <w:r>
        <w:rPr>
          <w:rtl w:val="0"/>
          <w:lang w:val="fa-IR"/>
        </w:rPr>
        <w:t xml:space="preserve">یعنی آنکه ما قبلاً نفی اوّلیت و آخریت می‏کردیم، نفی اوّلیت و آخریت در خود ذات بود اما الآن که داریم با مسئلۀ صرافت وجود قالب می‏زنیم و ما آن آثار و ظهورات را از تعیّن ذات قرار می‏دهیم این همان جنبۀ ظاهریت و باطنیت می‏شود. باطنیت، بسیط الحقیقه است. باطنیت، وجود بالصرافه است. باطنیت وجود بحت و بسیط است. ظاهر، مقام اراده است، ظاهر مقام واحدیت و مقام اسماء و صفات کلیه و همین‌طور به‌دنبالش جزئیه است، ظاهر عبارت از اعیان خارجی و اشیاء خارجی است. پس روشن شد که چطور در اینجا آمدیم بین دو دسته از روایاتی که یکی نفی این ظهور و باطن می‏کند و بین آیات و همین‌طور روایات قشنگ جمع کردیم و گفتیم که هردوی اینها یک معنا می‏دهد و هیچ تنافی و هیچ تعارض و تناقضی در اینجا در میان نیست.</w:t>
      </w:r>
    </w:p>
    <w:p>
      <w:pPr/>
      <w:r>
        <w:rPr>
          <w:rtl w:val="0"/>
          <w:lang w:val="fa-IR"/>
        </w:rPr>
        <w:t xml:space="preserve">خب من خیال می‏کنم حالا به این مقدار که راجع به این مسئله صحبت شد [کافی است] البته مطالب زیاد است؛ مطالب بزرگان و همین‌طور اگر بخواهیم از شیخ صدوق و مرحوم مفید و مطالب مرحوم علم‌الهدی و همین‌طور متکلمین و یا مرحوم مجلسی در </w:t>
      </w:r>
      <w:r>
        <w:rPr>
          <w:rtl w:val="0"/>
          <w:lang w:val="fa-IR"/>
        </w:rPr>
        <w:t xml:space="preserve">بحار</w:t>
      </w:r>
      <w:r>
        <w:rPr>
          <w:rtl w:val="0"/>
          <w:lang w:val="fa-IR"/>
        </w:rPr>
        <w:t xml:space="preserve"> نقل بکنیم اینها همه جای اشکال دارد و مطلب به درازا می‏کشد و خیال می‏کنم این مقدار که صحبت در مسئلۀ قضا و قدر و کیفیت تحقق قضا به قدر و کیفیت تحقق علم عنائی و کیفیت تحقق اعیان خارجی کردیم، مطلب را روشن کرده باشد. حالا باز اگر سؤالی هست إن‌شاءالله در جلسۀ آینده بخواهید به پاسخ به سؤالات در این زمینه بپردازیم شاید بهتر باشد. لذا رفقا در هر چیزی که مطالعه کردند یا در این چند روز می‌بینند یا برخورد می‌کنند اگر سؤالی هست یادداشت کنند که در همان‌جا صحبت بشود.</w:t>
      </w:r>
    </w:p>
    <w:p>
      <w:pPr/>
      <w:r>
        <w:rPr>
          <w:rtl w:val="0"/>
          <w:lang w:val="fa-IR"/>
        </w:rPr>
        <w:t xml:space="preserve">تلمیذ</w:t>
      </w:r>
      <w:r>
        <w:rPr>
          <w:rtl w:val="0"/>
          <w:lang w:val="fa-IR"/>
        </w:rPr>
        <w:t xml:space="preserve">: بحث بداء را مثل اینکه قرار بود توضیح بفرمایید.</w:t>
      </w:r>
    </w:p>
    <w:p>
      <w:pPr/>
      <w:r>
        <w:rPr>
          <w:rtl w:val="0"/>
          <w:lang w:val="fa-IR"/>
        </w:rPr>
        <w:t xml:space="preserve">استاد:</w:t>
      </w:r>
      <w:r>
        <w:rPr>
          <w:rtl w:val="0"/>
          <w:lang w:val="fa-IR"/>
        </w:rPr>
        <w:t xml:space="preserve"> بسیار خب! می‏خواهید بحث بداء را توضیح می‌دهیم.</w:t>
      </w:r>
    </w:p>
    <w:p>
      <w:pPr/>
      <w:r>
        <w:rPr>
          <w:rtl w:val="0"/>
          <w:lang w:val="fa-IR"/>
        </w:rPr>
        <w:t xml:space="preserve">قبلاً صحبت کردیم. حالا که این مسائل روشن شد بداء هم روشن می‌شود من فراموش کرده بودم. بداء را هم در دنباله‌اش توضیح می‌دهیم. علیٰ‌کلّ‌حال به‌نظر می‏رسد در مسئلۀ قضا و قدر و علم کلی دیگر اشکالی نباشد و مسئله جای ابهامی نداشته باشد.</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(عبده)، ج ١، ص ١١٢ ـ ١١٤؛ </w:t>
      </w:r>
      <w:r>
        <w:rPr>
          <w:rtl w:val="0"/>
          <w:lang w:val="fa-IR"/>
        </w:rPr>
        <w:t xml:space="preserve">توحید علمی و عینی</w:t>
      </w:r>
      <w:r>
        <w:rPr>
          <w:rtl w:val="0"/>
          <w:lang w:val="fa-IR"/>
        </w:rPr>
        <w:t xml:space="preserve">، ص 216.</w:t>
      </w:r>
    </w:p>
  </w:footnote>
  <w:footnote w:id="2">
    <w:p>
      <w:pPr>
        <w:pStyle w:val="FootnoteText"/>
      </w:pPr>
      <w:r>
        <w:rPr>
          <w:rStyle w:val="FootnoteReference"/>
        </w:rPr>
        <w:footnoteRef/>
      </w:r>
      <w:r>
        <w:t xml:space="preserve"> </w:t>
      </w:r>
      <w:r>
        <w:rPr>
          <w:rtl w:val="0"/>
          <w:lang w:val="fa-IR"/>
        </w:rPr>
        <w:t xml:space="preserve">. سوره حدید (57) آیه 3:</w:t>
      </w:r>
    </w:p>
    <w:p>
      <w:pPr>
        <w:pStyle w:val="FootnoteText"/>
      </w:pPr>
      <w:r>
        <w:rPr>
          <w:rtl w:val="0"/>
          <w:lang w:val="fa-IR"/>
        </w:rPr>
        <w:t xml:space="preserve">﴿هُوَ ٱلۡأَوَّلُ وَٱلۡأٓخِرُ وَٱلظَّٰهِرُ وَٱلۡبَاطِنُ وَهُوَ بِكُلِّ شَيۡءٍ عَلِيمٌ﴾.</w:t>
      </w:r>
      <w:r>
        <w:rPr>
          <w:rtl w:val="0"/>
          <w:lang w:val="fa-IR"/>
        </w:rPr>
        <w:t xml:space="preserve"> امام شناسى</w:t>
      </w:r>
      <w:r>
        <w:rPr>
          <w:rtl w:val="0"/>
          <w:lang w:val="fa-IR"/>
        </w:rPr>
        <w:t xml:space="preserve">، ج ‏12، ص 376:</w:t>
      </w:r>
    </w:p>
    <w:p>
      <w:pPr>
        <w:pStyle w:val="FootnoteText"/>
      </w:pPr>
      <w:r>
        <w:rPr>
          <w:rtl w:val="0"/>
          <w:lang w:val="fa-IR"/>
        </w:rPr>
        <w:t xml:space="preserve">«اوست اوّل و آخر، و ظاهر و باطن (پیدا و پنهان) و او به هر چیز داناست»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بصائر الدرجات</w:t>
      </w:r>
      <w:r>
        <w:rPr>
          <w:rtl w:val="0"/>
          <w:lang w:val="fa-IR"/>
        </w:rPr>
        <w:t xml:space="preserve">، ج ١، ص ٣١٥؛</w:t>
      </w:r>
      <w:r>
        <w:rPr>
          <w:rtl w:val="0"/>
          <w:lang w:val="fa-IR"/>
        </w:rPr>
        <w:t xml:space="preserve"> الکافی</w:t>
      </w:r>
      <w:r>
        <w:rPr>
          <w:rtl w:val="0"/>
          <w:lang w:val="fa-IR"/>
        </w:rPr>
        <w:t xml:space="preserve">، ج ١، ص ٢٥٨؛ </w:t>
      </w:r>
      <w:r>
        <w:rPr>
          <w:rtl w:val="0"/>
          <w:lang w:val="fa-IR"/>
        </w:rPr>
        <w:t xml:space="preserve">افق وحی</w:t>
      </w:r>
      <w:r>
        <w:rPr>
          <w:rtl w:val="0"/>
          <w:lang w:val="fa-IR"/>
        </w:rPr>
        <w:t xml:space="preserve">، ص 205، با قدری اختلاف.</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دو بیتی‌های باباطاهر</w:t>
      </w:r>
      <w:r>
        <w:rPr>
          <w:rtl w:val="0"/>
          <w:lang w:val="fa-IR"/>
        </w:rPr>
        <w:t xml:space="preserve">، دو بیتی شماره ٣١٣:</w:t>
      </w:r>
    </w:p>
    <w:p>
      <w:pPr>
        <w:pStyle w:val="She'rPavaraghi"/>
      </w:pPr>
      <w:r>
        <w:rPr>
          <w:rtl w:val="0"/>
          <w:lang w:val="fa-IR"/>
        </w:rPr>
        <w:t xml:space="preserve">خوشا آنانکه الله یارشان بی *** بحمد و قل هو الله کارشان بی</w:t>
      </w:r>
    </w:p>
    <w:p>
      <w:pPr>
        <w:pStyle w:val="She'rPavaraghi"/>
      </w:pPr>
      <w:r>
        <w:rPr>
          <w:rtl w:val="0"/>
          <w:lang w:val="fa-IR"/>
        </w:rPr>
        <w:t xml:space="preserve">خوشا آنانکه دایم در نمازند *** بهشت جاودان بازارشان بی</w:t>
      </w:r>
    </w:p>
    <w:p>
      <w:pPr>
        <w:pStyle w:val="FootnoteText"/>
      </w:pPr>
    </w:p>
  </w:footnote>
  <w:footnote w:id="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نهج البلاغه </w:t>
      </w:r>
      <w:r>
        <w:rPr>
          <w:rtl w:val="0"/>
          <w:lang w:val="fa-IR"/>
        </w:rPr>
        <w:t xml:space="preserve">(صبحی صالح)،</w:t>
      </w:r>
      <w:r>
        <w:rPr>
          <w:rtl w:val="0"/>
          <w:lang w:val="fa-IR"/>
        </w:rPr>
        <w:t xml:space="preserve"> </w:t>
      </w:r>
      <w:r>
        <w:rPr>
          <w:rtl w:val="0"/>
          <w:lang w:val="fa-IR"/>
        </w:rPr>
        <w:t xml:space="preserve">خطبه‌های 83، 109، 114، 132، 149، 183، 188، 221، 230 و نامه 27.</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الهدایة‌ الکبری</w:t>
      </w:r>
      <w:r>
        <w:rPr>
          <w:rtl w:val="0"/>
          <w:lang w:val="fa-IR"/>
        </w:rPr>
        <w:t xml:space="preserve">، ص ٢٠٤؛ </w:t>
      </w:r>
      <w:r>
        <w:rPr>
          <w:rtl w:val="0"/>
          <w:lang w:val="fa-IR"/>
        </w:rPr>
        <w:t xml:space="preserve">مدینة‌ المعاجز</w:t>
      </w:r>
      <w:r>
        <w:rPr>
          <w:rtl w:val="0"/>
          <w:lang w:val="fa-IR"/>
        </w:rPr>
        <w:t xml:space="preserve">، ج ٤، ص ٢١٥؛ </w:t>
      </w:r>
      <w:r>
        <w:rPr>
          <w:rtl w:val="0"/>
          <w:lang w:val="fa-IR"/>
        </w:rPr>
        <w:t xml:space="preserve">عنوان بصری،</w:t>
      </w:r>
      <w:r>
        <w:rPr>
          <w:rtl w:val="0"/>
          <w:lang w:val="fa-IR"/>
        </w:rPr>
        <w:t xml:space="preserve"> ج ۲، ص 34، با قدری اختلاف.</w:t>
      </w:r>
    </w:p>
  </w:footnote>
  <w:footnote w:id="7">
    <w:p>
      <w:pPr>
        <w:pStyle w:val="FootnoteText"/>
      </w:pPr>
      <w:r>
        <w:rPr>
          <w:rStyle w:val="FootnoteReference"/>
        </w:rPr>
        <w:footnoteRef/>
      </w:r>
      <w:r>
        <w:t xml:space="preserve"> </w:t>
      </w:r>
      <w:r>
        <w:rPr>
          <w:rtl w:val="0"/>
          <w:lang w:val="fa-IR"/>
        </w:rPr>
        <w:t xml:space="preserve">. سوره غافر (40) آیه 16.</w:t>
      </w:r>
      <w:r>
        <w:rPr>
          <w:rtl w:val="0"/>
          <w:lang w:val="fa-IR"/>
        </w:rPr>
        <w:t xml:space="preserve"> الله شناسى</w:t>
      </w:r>
      <w:r>
        <w:rPr>
          <w:rtl w:val="0"/>
          <w:lang w:val="fa-IR"/>
        </w:rPr>
        <w:t xml:space="preserve">، ج ‏2، ص 221 و 222:</w:t>
      </w:r>
    </w:p>
    <w:p>
      <w:pPr>
        <w:pStyle w:val="FootnoteText"/>
      </w:pPr>
      <w:r>
        <w:rPr>
          <w:rtl w:val="0"/>
          <w:lang w:val="fa-IR"/>
        </w:rPr>
        <w:t xml:space="preserve">«پادشاهى و اختیار بر نفوس امروز براى چه كسى مى‏باشد؟! از براى‏ خداى واحد قهّار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