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هفتادم</w:t>
      </w:r>
    </w:p>
    <w:p>
      <w:pPr>
        <w:pStyle w:val="Heading5"/>
      </w:pPr>
      <w:r>
        <w:rPr>
          <w:rtl w:val="0"/>
          <w:lang w:val="fa-IR"/>
        </w:rPr>
        <w:t xml:space="preserve">بررسی نظرات مختلف راجع به مسئلۀ ذر و عالم ذر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اهمیت روایات در تفسیر آیات</w:t>
      </w:r>
    </w:p>
    <w:p>
      <w:pPr/>
      <w:r>
        <w:rPr>
          <w:rtl w:val="0"/>
          <w:lang w:val="fa-IR"/>
        </w:rPr>
        <w:t xml:space="preserve">عرض شد راجع به مسئلۀ ذر و عالم ذر نظرات مختلفی هست و طبعاً آن آیه‏ای که در قرآن دلالت بر این معنا می‏کند، می‌شود گفت که یک آیه نسبت به این مسئله ظهور یا تصریح دارد و آیات دیگری هم هستند که اشاره دارند و حالا عرض می‏کنیم. روایات در این زمینه حکایت از همین معنا دارد یعنی در این قضیه روایات همان آیه را تفسیر می‏کنند و توضیح می‏دهند.</w:t>
      </w:r>
    </w:p>
    <w:p>
      <w:pPr/>
      <w:r>
        <w:rPr>
          <w:rtl w:val="0"/>
          <w:lang w:val="fa-IR"/>
        </w:rPr>
        <w:t xml:space="preserve">قبل از طرح این روایات به این مسئله باید اشاره کرد که مسئلۀ تفسیر آیات چنانچه مورد تأیید روایات قرار بگیرد و منافات ظاهری با آن آیات نداشته باشد، می‏شود گفت که همان مفهوم روایات، معنای خود آیات است. در این زمینه روایات مختلف هست؛ بعضی از روایات فقط در مقام بیان ظاهر است و بعضی از آنها در مقام شأن نزول و بیان مصداق است. ما نمی‏توانیم در تفسیر آیات نسبت به روایات بی‏تفاوت باشیم. یک شبهه‏ای در اینجا برای بعضی ممکن است به‌وجود بیاید که اینکه می‏گویند: «</w:t>
      </w:r>
      <w:r>
        <w:rPr>
          <w:rStyle w:val="Arabi"/>
          <w:rtl w:val="0"/>
          <w:lang w:val="fa-IR"/>
        </w:rPr>
        <w:t xml:space="preserve">إنّ القرآن یفسِّرُ بعضُهُ بَعضاً</w:t>
      </w:r>
      <w:r>
        <w:rPr>
          <w:rtl w:val="0"/>
          <w:lang w:val="fa-IR"/>
        </w:rPr>
        <w:t xml:space="preserve">»</w:t>
      </w:r>
      <w:r>
        <w:rPr>
          <w:rStyle w:val="FootnoteReference"/>
        </w:rPr>
        <w:footnoteReference w:id="1"/>
      </w:r>
      <w:r>
        <w:rPr>
          <w:rtl w:val="0"/>
          <w:lang w:val="fa-IR"/>
        </w:rPr>
        <w:t xml:space="preserve"> معنای این صرف نظر کردن از روایات نیست. علیٰ‌کلّ‌حال ما در تبیین و توضیح و تفسیر آیات به روایات نیازمند و محتاج هستیم و انسان بدون کمک از روایات نمی‌تواند بسیاری از آیات را معنا کند.</w:t>
      </w:r>
    </w:p>
    <w:p>
      <w:pPr>
        <w:pStyle w:val="Heading6"/>
      </w:pPr>
      <w:r>
        <w:rPr>
          <w:rtl w:val="0"/>
          <w:lang w:val="fa-IR"/>
        </w:rPr>
        <w:t xml:space="preserve">عدم منافات معنای آیات با روایات ائمه علیهم‌السّلام</w:t>
      </w:r>
    </w:p>
    <w:p>
      <w:pPr/>
      <w:r>
        <w:rPr>
          <w:rtl w:val="0"/>
          <w:lang w:val="fa-IR"/>
        </w:rPr>
        <w:t xml:space="preserve">یک معنا معنای ظاهری است و یک معنا معنای باطن و حقیقت است و این منافات ندارد بااینکه خود آیات یک معنای ظاهری داشته باشند، مثلاً در این آیه‏ای که راجع به قصاص است </w:t>
      </w:r>
      <w:r>
        <w:rPr>
          <w:rtl w:val="0"/>
          <w:lang w:val="fa-IR"/>
        </w:rPr>
        <w:t xml:space="preserve">﴿وَمَن قُتِلَ مَظۡلُومٗا فَقَدۡ جَعَلۡنَا لِوَلِيِّهِۦ سُلۡطَٰنٗا فَلَا يُسۡرِف فِّي ٱلۡقَتۡلِ إِنَّهُۥ كَانَ مَنصُورٗا﴾</w:t>
      </w:r>
      <w:r>
        <w:rPr>
          <w:rtl w:val="0"/>
          <w:lang w:val="fa-IR"/>
        </w:rPr>
        <w:t xml:space="preserve">.</w:t>
      </w:r>
      <w:r>
        <w:rPr>
          <w:rStyle w:val="FootnoteReference"/>
        </w:rPr>
        <w:footnoteReference w:id="2"/>
      </w:r>
      <w:r>
        <w:rPr>
          <w:rtl w:val="0"/>
          <w:lang w:val="fa-IR"/>
        </w:rPr>
        <w:t xml:space="preserve"> این آیه در مورد قصاص است و ولیّ دَم را در اینجا اثبات می‏کند. این بااینکه روایاتی هست که منظور از این آیه حضرت سیدالشهداء علیه‌السّلام است و ولیّ دم او حضرت ولیّ عصر علیه‌السّلام است</w:t>
      </w:r>
      <w:r>
        <w:rPr>
          <w:rStyle w:val="FootnoteReference"/>
        </w:rPr>
        <w:footnoteReference w:id="3"/>
      </w:r>
      <w:r>
        <w:rPr>
          <w:rtl w:val="0"/>
          <w:lang w:val="fa-IR"/>
        </w:rPr>
        <w:t xml:space="preserve"> منافات ندارد و این مصداق اتمّ این آیه است اما ایراد و اشکالی ندارد که انسان در اینجا از این آیه استفادۀ یک حکم فقهی داشته باشد.</w:t>
      </w:r>
    </w:p>
    <w:p>
      <w:pPr/>
      <w:r>
        <w:rPr>
          <w:rtl w:val="0"/>
          <w:lang w:val="fa-IR"/>
        </w:rPr>
        <w:t xml:space="preserve">حالا اگر روایات در اینجا آمدند و یک معنایی را برای این آیات قرآن اثبات کردند قطعاً ما باید آن را یا به معنای ظاهر یا به همان معنای باطن اخذ کنیم زیرا تشخیص مفاهیم و مبانی آیات با اهل‏بیت علیهم‌السّلام و با افرادی است که مهبط وحی هستند و آنها فقط اهل‏بیت هستند. پس اینکه می‏گویند که نیازی به روایات نیست، غلط است. ما بدون روایات نمی‏توانیم معنای این آیات را بفهمیم. مثلاً یک آیه‏ای دربارۀ وضو هست که اگر روایات نباشد خود آیه معنای دیگری می‏دهد و من کسی از شیعه را ندیده‏ام که بدون استفاده و استناد به روایات بخواهد معنایی را تفسیر کند و تفسیر آیه‌ای بکند. حتی در تفسیر </w:t>
      </w:r>
      <w:r>
        <w:rPr>
          <w:rtl w:val="0"/>
          <w:lang w:val="fa-IR"/>
        </w:rPr>
        <w:t xml:space="preserve">المیزان</w:t>
      </w:r>
      <w:r>
        <w:rPr>
          <w:rtl w:val="0"/>
          <w:lang w:val="fa-IR"/>
        </w:rPr>
        <w:t xml:space="preserve"> که معروف به این است که تفسیر آیه به آیه است، بالأخره ایشان روایاتی را در جهت تأیید یا نفی بعضی از آراء نقل می‏کنند و بدون این مسئله اصلاً به‌نظر می‏رسد تفسیر آیات جای ضعف و نقص دارد و باید با استفاده از روایات باید باشد و واقع مسئله هم همین است. ما این‏‌همه روایات از ائمه علیهم‌السّلام داریم که معانی آیات را از ما بپرسید، این وحی در منزل ما آمده و محلّ و مهبطش قلوب ما هست،</w:t>
      </w:r>
      <w:r>
        <w:rPr>
          <w:rStyle w:val="FootnoteReference"/>
        </w:rPr>
        <w:footnoteReference w:id="4"/>
      </w:r>
      <w:r>
        <w:rPr>
          <w:rtl w:val="0"/>
          <w:lang w:val="fa-IR"/>
        </w:rPr>
        <w:t xml:space="preserve">همۀ اینها وحی همین آیات است؛ همین آیاتی است که هم در مورد شأن نزول و مصادیق و همین‌طور نسبت به خود مفهوم آن باید به آنها نظر بدهیم و معانی را در آنجا ادراک بکنیم.</w:t>
      </w:r>
    </w:p>
    <w:p>
      <w:pPr>
        <w:pStyle w:val="Heading6"/>
      </w:pPr>
      <w:r>
        <w:rPr>
          <w:rtl w:val="0"/>
          <w:lang w:val="fa-IR"/>
        </w:rPr>
        <w:t xml:space="preserve">مضامین و مراتب مختلفه داشتن آیات قرآن</w:t>
      </w:r>
    </w:p>
    <w:p>
      <w:pPr/>
      <w:r>
        <w:rPr>
          <w:rtl w:val="0"/>
          <w:lang w:val="fa-IR"/>
        </w:rPr>
        <w:t xml:space="preserve">چون معانی آیات قرآن معانی‏ای نیست که برای همۀ افراد در هر سطحی باشد. گرچه مخاطبین قرآن همۀ افراد هستند ولی اینها دارای مضامین مختلفه و مراتب مختلفه‏ای هستند. بدون توجه به روایات کجا ما می‏توانیم حروف مقطّعۀ قرآن را خودمان بفهمیم؟ امکان ندارد! خب این باید از طرف آنها باشد! حالا بعضی از آن مطالب را برای ما نقل کرده‏اند و بعضی‏هایش که مربوط به اسرار است نقل نشده و خود انسان به آن می‏رسد و بعضی‏ها رسیده‏اند؛ همان‌ها رسیدند منتها مُجاز به ابراز و اظهار آن نیستند. اینکه فقط هرچه ملقای به مخاطب هست همان فهم عادی و فهم عرفی هست که بر این قضیه دلالت ندارد و لذا مثلاً در آیۀ شریفه که مربوط به طعام است </w:t>
      </w:r>
      <w:r>
        <w:rPr>
          <w:rtl w:val="0"/>
          <w:lang w:val="fa-IR"/>
        </w:rPr>
        <w:t xml:space="preserve">﴿فَلۡيَنظُرِ ٱلۡإِنسَٰنُ إِلَىٰ طَعَامِهِۦٓ</w:t>
      </w:r>
      <w:r>
        <w:rPr>
          <w:rtl w:val="0"/>
          <w:lang w:val="fa-IR"/>
        </w:rPr>
        <w:t xml:space="preserve"> * </w:t>
      </w:r>
      <w:r>
        <w:rPr>
          <w:rtl w:val="0"/>
          <w:lang w:val="fa-IR"/>
        </w:rPr>
        <w:t xml:space="preserve">أَنَّا صَبَبۡنَا ٱلۡمَآءَ صَبّٗا </w:t>
      </w:r>
      <w:r>
        <w:rPr>
          <w:rtl w:val="0"/>
          <w:lang w:val="fa-IR"/>
        </w:rPr>
        <w:t xml:space="preserve">*</w:t>
      </w:r>
      <w:r>
        <w:rPr>
          <w:rtl w:val="0"/>
          <w:lang w:val="fa-IR"/>
        </w:rPr>
        <w:t xml:space="preserve"> ثُمَّ شَقَقۡنَا ٱلۡأَرۡضَ شَقّٗا﴾</w:t>
      </w:r>
      <w:r>
        <w:rPr>
          <w:rtl w:val="0"/>
          <w:lang w:val="fa-IR"/>
        </w:rPr>
        <w:t xml:space="preserve">.</w:t>
      </w:r>
      <w:r>
        <w:rPr>
          <w:rStyle w:val="FootnoteReference"/>
        </w:rPr>
        <w:footnoteReference w:id="5"/>
      </w:r>
      <w:r>
        <w:rPr>
          <w:rtl w:val="0"/>
          <w:lang w:val="fa-IR"/>
        </w:rPr>
        <w:t xml:space="preserve"> در اینجا یک معنا معنای ظاهری هست که </w:t>
      </w:r>
      <w:r>
        <w:rPr>
          <w:rtl w:val="0"/>
          <w:lang w:val="fa-IR"/>
        </w:rPr>
        <w:t xml:space="preserve">﴿فَلۡيَنظُرِ ٱلۡإِنسَٰنُ إِلَىٰ طَعَامِهِۦٓ﴾ </w:t>
      </w:r>
      <w:r>
        <w:rPr>
          <w:rtl w:val="0"/>
          <w:lang w:val="fa-IR"/>
        </w:rPr>
        <w:t xml:space="preserve">کیفیت نزول رحمت و برکات را در این آیه بیان می‏کند که چطور به یک زمینِ میّت این برکات خدا و رحمت نازل می‏شود و سبز می‏شود و آب‏ها جاری می‏شود و طبعاً وسیلۀ برای استمرار حیات و بقاء حیات در اینجا جاری می‏شود. از آن‌طرف امام صادق می‏فرماید: «</w:t>
      </w:r>
      <w:r>
        <w:rPr>
          <w:rStyle w:val="Arabi"/>
          <w:rtl w:val="0"/>
          <w:lang w:val="fa-IR"/>
        </w:rPr>
        <w:t xml:space="preserve">فلیَنظُر الإنسان إلیٰ علمِه ممَّن تعَلمه</w:t>
      </w:r>
      <w:r>
        <w:rPr>
          <w:rtl/>
          <w:lang w:val="fa-IR"/>
        </w:rPr>
        <w:t xml:space="preserve">».</w:t>
      </w:r>
      <w:r>
        <w:rPr>
          <w:rStyle w:val="FootnoteReference"/>
        </w:rPr>
        <w:footnoteReference w:id="6"/>
      </w:r>
      <w:r>
        <w:rPr>
          <w:rtl w:val="0"/>
          <w:lang w:val="fa-IR"/>
        </w:rPr>
        <w:t xml:space="preserve"> خب اینکه [ انسان نگاه کند ببیند] از چه کسی دارد این علم را تعلم می‏کند، این معنایی است که اینجا باید امام بیاید و این معنا را بیان کند. ما اگر صد سال هم می‏نشستیم هیچ نمی‏فهمیدیم که منظور پروردگار از این آیه این هست که </w:t>
      </w:r>
      <w:r>
        <w:rPr>
          <w:rStyle w:val="Arabi"/>
          <w:rtl w:val="0"/>
          <w:lang w:val="fa-IR"/>
        </w:rPr>
        <w:t xml:space="preserve">فلیَنظُرِ الإنسان إلیٰ علمِه ممَّن تعَلمه</w:t>
      </w:r>
      <w:r>
        <w:rPr>
          <w:rtl w:val="0"/>
          <w:lang w:val="fa-IR"/>
        </w:rPr>
        <w:t xml:space="preserve"> یا</w:t>
      </w:r>
      <w:r>
        <w:rPr>
          <w:rStyle w:val="Arabi"/>
          <w:rtl w:val="0"/>
          <w:lang w:val="fa-IR"/>
        </w:rPr>
        <w:t xml:space="preserve"> ممَّن یتعلمه</w:t>
      </w:r>
      <w:r>
        <w:rPr>
          <w:rtl w:val="0"/>
          <w:lang w:val="fa-IR"/>
        </w:rPr>
        <w:t xml:space="preserve">. این معنایی است که وقتی انسان نگاه می‏کند می‏بیند که این قضیه خیلی عجیب است!</w:t>
      </w:r>
    </w:p>
    <w:p>
      <w:pPr/>
      <w:r>
        <w:rPr>
          <w:rtl w:val="0"/>
          <w:lang w:val="fa-IR"/>
        </w:rPr>
        <w:t xml:space="preserve">یک وقتی من دیدم بعضی‏ها اصلاً دارند از این آیه نسبت به طهارت و نجاست بعضی از چیزها و بعضی از اطعمه و اشربه استفادۀ فقهی می‏کنند! گفتم که این آیه اصلاً دلالت بر این قضیه ندارد! می‌گفتند: </w:t>
      </w:r>
      <w:r>
        <w:rPr>
          <w:rtl w:val="0"/>
          <w:lang w:val="fa-IR"/>
        </w:rPr>
        <w:t xml:space="preserve">﴿فَلۡيَنظُرِ ٱلۡإِنسَٰنُ إِلَىٰ طَعَامِهِۦٓ﴾</w:t>
      </w:r>
      <w:r>
        <w:rPr>
          <w:rtl w:val="0"/>
          <w:lang w:val="fa-IR"/>
        </w:rPr>
        <w:t xml:space="preserve"> دلالت می‏کند که باید در هر موردی قاعدۀ احتیاط جاری کرد و تا انسان یقین به طهارت و حلیّت نکند نمی‏تواند در اینجا تناول کند. چون لام در </w:t>
      </w:r>
      <w:r>
        <w:rPr>
          <w:rtl w:val="0"/>
          <w:lang w:val="fa-IR"/>
        </w:rPr>
        <w:t xml:space="preserve">﴿فَلۡيَنظُرِ﴾</w:t>
      </w:r>
      <w:r>
        <w:rPr>
          <w:rtl w:val="0"/>
          <w:lang w:val="fa-IR"/>
        </w:rPr>
        <w:t xml:space="preserve"> لام وجوبیه است. گفتم که آقا [در] این روایت [داریم که این آیه] اصلاً راجع به علم است! اصلاً در اینجا این مسئله مورد نظراست.</w:t>
      </w:r>
    </w:p>
    <w:p>
      <w:pPr>
        <w:pStyle w:val="Heading6"/>
      </w:pPr>
      <w:r>
        <w:rPr>
          <w:rtl w:val="0"/>
          <w:lang w:val="fa-IR"/>
        </w:rPr>
        <w:t xml:space="preserve">ولایت؛ باطن تشریع</w:t>
      </w:r>
    </w:p>
    <w:p>
      <w:pPr/>
      <w:r>
        <w:rPr>
          <w:rtl w:val="0"/>
          <w:lang w:val="fa-IR"/>
        </w:rPr>
        <w:t xml:space="preserve">اینها نکاتی است که خدای متعال نمی‏تواند هر چیزی را به‌صورت ظاهر بیان کند. باید این مطالب از دریچۀ خودش که همان دریچۀ وحی است برسد. والاّ خدا بیاید و بگوید که بلند شو و دنبال امام صادق علیه‌السّلام برو و هرچه امام صادق گفت گوش بده [در ظاهر] نمی‌شود خب این مسائل در لفافه می‏آید. حتی اصلاً مسائلی که مربوط به ولایت است ما در قرآن نداریم، همۀ اینها در لفافه و کنایه و اشاره است. اسم پیغمبر در چند جای قرآن آمده است ولی کجا اسم امیرالمؤمنین علیه‌السّلام آمد؟ نیامد! فقط یک قضیه، بله، آیاتی در شأن نزول حضرت در موارد مختلف آمده ولی اسم نیامده است چون ولایت، باطن تشریع است و باطن هیچ وقت نباید ظاهر بشود. اگر قرار بر این است که ولایت، باطن باشد و مردم بر این باطن امتحان بشوند و به‌واسطۀ این باطن بهشت و جهنم پدیدار بشود و مراتب و ارتقاء نسبت به افراد پیدا بشود، دیگر خدا نمی‏تواند ظاهر بگوید چون همه چیز ازبین می‏رود؛ یعنی اگر خدا ولایت امیرالمؤمنین را به‌نحو ظاهر بیان می‏کرد و اسم می‏آورد اصلاً تمام بساط شرع برچیده می‏شد. چون اسم هست دیگر! وقتی که هست بنابراین مخالفی دیگر نمی‏تواند جلو بیاید و قد علم کند. الآن می‏گویند که نه آقا! واقعۀ غدیر آمده و گفته «</w:t>
      </w:r>
      <w:r>
        <w:rPr>
          <w:rStyle w:val="RevayatArabi"/>
          <w:rtl w:val="0"/>
          <w:lang w:val="fa-IR"/>
        </w:rPr>
        <w:t xml:space="preserve">من کنت مولاه</w:t>
      </w:r>
      <w:r>
        <w:rPr>
          <w:rtl w:val="0"/>
          <w:lang w:val="fa-IR"/>
        </w:rPr>
        <w:t xml:space="preserve">»</w:t>
      </w:r>
      <w:r>
        <w:rPr>
          <w:rStyle w:val="FootnoteReference"/>
        </w:rPr>
        <w:footnoteReference w:id="7"/>
      </w:r>
      <w:r>
        <w:rPr>
          <w:rtl w:val="0"/>
          <w:lang w:val="fa-IR"/>
        </w:rPr>
        <w:t xml:space="preserve"> محبت و دوستی و این چیزها است و ما هم قبول داریم. این آمده توصیه به اهل‌بیت کرده است. مگر همین تعبیرات و توجیهاتی که الآن دارند سنّی‏ها و مفسرین آنها می‏کنند چیست دیگر؟! خب همین هست! آن‌وقت حالا این احمق‏ها فکر این را نمی‏کنند که سه روز پیغمبر صلّی الله علیه و آله و سلّم آنجا بایستد و مردم بایستند که بگوید علی را دوست داشته باشید؟! اگر این پیغمبر است، من یکی دست از این شریعت برمی‏دارم! این پیغمبر عقلش پارسنگ برداشته است که سه روز در آن گرما مردم را نگه دارد و بگوید که این را دوست داشته باشید؟! این چه عمل لغو و سفیهانه‏ای است؟! اگر یک فرد عادی این کار را انجام بدهد شما دیگر پشت سرش نماز نمی‏خوانید حالا چه برسد به اینکه پیغمبر بیاید انجام بدهد! حالا کاری به این نداریم و از این صرف‌نظر می‌کنیم.</w:t>
      </w:r>
    </w:p>
    <w:p>
      <w:pPr>
        <w:pStyle w:val="Heading6"/>
      </w:pPr>
      <w:r>
        <w:rPr>
          <w:rtl w:val="0"/>
          <w:lang w:val="fa-IR"/>
        </w:rPr>
        <w:t xml:space="preserve">علّت اختفای نام ولیّ در قرآن</w:t>
      </w:r>
    </w:p>
    <w:p>
      <w:pPr/>
      <w:r>
        <w:rPr>
          <w:rtl w:val="0"/>
          <w:lang w:val="fa-IR"/>
        </w:rPr>
        <w:t xml:space="preserve">اما اگر صریح بیان می‏شد ـ نه یک آیه، دو آیه ـ که کسی نتواند حرف بزند مثلاً ده جای قرآن اسم علی می‏آمد. همین علی بن أبی‌طالبِ فلان که پدرش ابوطالب است و مادرش فاطمه بنت اسد و پسرعموی پیغمبر است. خب اگر قرار بر این است که صریح باشد، آدم باید صریح بگوید! همین علی بن أبی‌طالب علیه‌السّلام بعد از فوت پیغمبر سر جایش نشسته و همان کاری را انجام می‏دهد که پیغمبر انجام می‏داد. دیگر عمر و ابوبکر اینجا چه‌کار می‏کردند؟ آنها می‏رفتند و کاسه و کوزه‌شان را جمع می‏کردند! دیگر عبدالرحمن بن عوف و مخالف و معاند اینجا چه می‏کنند؟! باید اسم علی مخفی بماند تا آن کسی که در ذاتش خرده‌شیشه دارد بتواند بیاید خرده‌شیشه‏اش را نشان بدهد والاّ همۀ اسباب و وسائل از آنها گرفته می‏شود و عالم امتحان به‌هم می‏خورد. اصلاً باید اسم علی مخفی بماند! اگر اسم علی ظاهر بشود حقدها و حسدها کجا دیگر می‏تواند بیاید خودش را نشان بدهد؟! معاندت‏ها و عنادها و حقدهای بدر و حنین کجا می‏خواهد بیاید؟! دیگر بستر و زمینه و ظرف برای ارائه ندارد! آن‏وقت در آنجا سلمان و غیر سلمان دیگر شناخته نمی‏شود. مراتب تقوا و ایمان در آنجا محقق نمی‏شود و همه می‌دانند دیگر! می‌دانند همین است دیگر و کسی هم نمی‏تواند حرف بزند! اگر حرف بزند [می‌گویند که] آقا مقابل پیغمبر ایستادی؟! باید زمینه طوری باشد که بشود مقابل امام حسین علیه‌السّلام ایستاد! اصلاً دنیا باید این‌طور باشد! آن زمان ظهور حضرت است که دیگر این حرف‌ها نیست! دیگر همه چیز برپا می‏شود و می‏آید یا علی! هر کسی می‏خواهد گوش بدهد بدهد، هر کسی هم نمی‏خواهد به قول مشهدی‏ها همه از یَک طرف و همه از یَک کنار!</w:t>
      </w:r>
    </w:p>
    <w:p>
      <w:pPr/>
      <w:r>
        <w:rPr>
          <w:rtl w:val="0"/>
          <w:lang w:val="fa-IR"/>
        </w:rPr>
        <w:t xml:space="preserve">خلاصه ترتیب همه را می‏دهد! آنجا دیگر این خبرها نیست! اما تا آن موقع می‏خواهد برسد، همه باید رشدشان را بکنند، همه باید در هر زمینه از آن مسائل نفس عبور کنند والاّ اگر عبور نکنند دیگر رشد معنا ندارد. بعد از مرحوم آقا ـ رضوان الله تعالی علیه ـ یک قضیه اتفاق افتاد و واقعاً قضیۀ عجیبی بود و فقط این مسئله مشکلاتی را که در ذهن داشتم را حل کرد! مرحوم پدر ما خیلی در مسائل دقت داشت و دقت ایشان به حدی بود که مثلاً حتی ما دست و پایمان را جمع می‏کردیم! وقتی ایشان یک کاری داشت، یک دفترچه داشت که برمی‏داشت و آن کاری که داشت را با مداد در آن دفترچه می‏نوشت؛ یک، دو، سه، چهار و... تا فردا بگوید که آقا بروید این کارها را انجام بدهید. مثلاً ما را صدا می‏زد که تو برو و اینها را بگو. دیگری را صدا می‏زد که اینها را انجام بده. بعد به ما می‏گفت که وقتی انجام دادید بیایید به من بگویید که خط بزنم! نه‌اینکه بروید انجام بدهید و بروید! من همین‌طور فکرم مشغول است! یک دفعه من یک کار ایشان را انجام دادم و سه روز هم گذشت! من دیگر چه می‏دانستم بیایم به ایشان بگویم که آقا من رفتم انجام دادم و تمام شد دیگر! گفتم که گزارش نمی‏خواهد دیگر! حالا بیاییم یک گزارش هم بدهیم! خب انجام دادیم! فرمودند:</w:t>
      </w:r>
    </w:p>
    <w:p>
      <w:pPr/>
      <w:r>
        <w:rPr>
          <w:rtl w:val="0"/>
          <w:lang w:val="fa-IR"/>
        </w:rPr>
        <w:t xml:space="preserve">ـ آقا مگر من به تو نگفتم که برو و آن را انجام بده؟!</w:t>
      </w:r>
    </w:p>
    <w:p>
      <w:pPr/>
      <w:r>
        <w:rPr>
          <w:rtl w:val="0"/>
          <w:lang w:val="fa-IR"/>
        </w:rPr>
        <w:t xml:space="preserve">ـ گفتم که آقاجان! سه روز پیش شما گفتید و من هم انجام دادم.</w:t>
      </w:r>
    </w:p>
    <w:p>
      <w:pPr/>
      <w:r>
        <w:rPr>
          <w:rtl/>
          <w:lang w:val="fa-IR"/>
        </w:rPr>
        <w:t xml:space="preserve">ـ چرا نیامدی بگویی؟ سه روز است که فکر من مشغول است! وقتی به تو می‏گویم که برو و این را انجام بده، برگرد و بگو که من خط بزنم. تا نگفتی من این خط را نمی‏زنم، و این مسئله همین‏طوری روی میز من هست و من خیال می‏کنم که [تو انجام ندادی]. خب اینها همه به صورت ظاهرشان عمل می‏کنند. به صورت باطن که نمی‏کنند! ما چه می‏دانیم آنها در فضای خودشان چه هستند! آن کسی که از هزارتا خیال من خبر دارد، نمی‏داند من انجام داده‏ام؟! خب این را اگر کسی نداند، من یکی که می‏دانم! اینها حالا روی حساب‏های ظاهر خودشان است، ما چه می‏دانیم چه‌کار می‏کردند!</w:t>
      </w:r>
    </w:p>
    <w:p>
      <w:pPr/>
      <w:r>
        <w:rPr>
          <w:rtl w:val="0"/>
          <w:lang w:val="fa-IR"/>
        </w:rPr>
        <w:t xml:space="preserve">علیٰ‌کلّ‌حال ما مکلف به این بودیم که وقتی انجام دادیم بیاییم بگوییم. این آدمی است که آن‌قدر دقیق است! ایشان به من پول داده که برو و این پول را به فلان شخص بده. من داشتم به طهران می‏آمدم، یک‌دفعه عجله داشتم که هواپیما دارد می‏رود! اتفاقاً با خودشان هم بودیم و یک قضیه‏ای داشت. من دیدم نمی‏توانم [پول را] به طرف بدهم به یکی از رفقا دادم که برود و بدهد. بعد وقتی که به طهران آمدیم در ماشین [فرمودند که] آقا آن پولی که به تو دادیم به فلانی دادید؟</w:t>
      </w:r>
    </w:p>
    <w:p>
      <w:pPr/>
      <w:r>
        <w:rPr>
          <w:rtl w:val="0"/>
          <w:lang w:val="fa-IR"/>
        </w:rPr>
        <w:t xml:space="preserve">ـ بله آقاجان! به دستش رسیده است.</w:t>
      </w:r>
    </w:p>
    <w:p>
      <w:pPr/>
      <w:r>
        <w:rPr>
          <w:rtl w:val="0"/>
          <w:lang w:val="fa-IR"/>
        </w:rPr>
        <w:t xml:space="preserve">ـ از تو سؤال کردم دادی یا نه؟! درست جواب بده! به دستش رسیده چیست؟! دادی یا ندادی؟</w:t>
      </w:r>
    </w:p>
    <w:p>
      <w:pPr/>
      <w:r>
        <w:rPr>
          <w:rtl w:val="0"/>
          <w:lang w:val="fa-IR"/>
        </w:rPr>
        <w:t xml:space="preserve">ـ دادم به فلانی که ببرد.</w:t>
      </w:r>
    </w:p>
    <w:p>
      <w:pPr/>
      <w:r>
        <w:rPr>
          <w:rtl w:val="0"/>
          <w:lang w:val="fa-IR"/>
        </w:rPr>
        <w:t xml:space="preserve">ـ مگر خودم بلد نبودم به او بدهم؟!</w:t>
      </w:r>
    </w:p>
    <w:p>
      <w:pPr/>
      <w:r>
        <w:rPr>
          <w:rtl w:val="0"/>
          <w:lang w:val="fa-IR"/>
        </w:rPr>
        <w:t xml:space="preserve">این حرف‌ها و رعایت قضیه برای انسان راه و سلوک است‏ها! چقدر اینها دقیق بودند!</w:t>
      </w:r>
    </w:p>
    <w:p>
      <w:pPr/>
      <w:r>
        <w:rPr>
          <w:rtl w:val="0"/>
          <w:lang w:val="fa-IR"/>
        </w:rPr>
        <w:t xml:space="preserve">ـ من وقتی می‏گویم که تو بده لابد یک قصدی دارم والاّ می‏دادم یکی دیگر بدهد. منظور من صرفاً این پول دادن نیست! منظور من رعایت شئون اوست که این رعایت شئون فقط به‌دست تو برآورده می‏شود نه‌اینکه فقط یک پول به دستش برسد. تو فکر این را نمی‌کنی!</w:t>
      </w:r>
    </w:p>
    <w:p>
      <w:pPr/>
      <w:r>
        <w:rPr>
          <w:rtl w:val="0"/>
          <w:lang w:val="fa-IR"/>
        </w:rPr>
        <w:t xml:space="preserve">اینها همه برای ما ادب بودها! ما را این‏طوری تنبیه می‏کردند که بفهمیم الآن چه کنیم. می‏گفتند: تو فکر این را نمی‏کنی که شاید او از اینکه شخص دیگری از این قضیه مطلع شده ناراحت شده باشد؟ گفتم: چرا! گفتند: پس تو نباید این کار را بکنی. هرچه به تو می‏گویم فقط همان را برو و انجام بده. شما یک هم‌چنین آدمی را کجا سراغ دارید؟! حالا این آدم با این دقت از دنیا برود و راجع به بعد از خودش چیزی نگوید! اصلاً مگر امکان دارد؟! آقا یک آدمی که دوتا کلاس سواد دارد سه‌تا وصیت نامه می‏نویسد! الآن آدمی که فقط پا روی بیل می‏گذارد در خانه‏اش وصیت نامه دارد! آن‏وقت یک هم‌چنین شخصی با این دقت ـ رفقایی که در زمان ایشان بودند حالا شاید از من هم بیشتر مسائل و وضعیت ایشان را در خودشان احساس کرده‏اند ـ چطور می‏شود ایشان از دنیا برود و راجع به بعد از خودش [وصیت نکند]؟! بنده تا آن ثانیۀ آخر بالای سر ایشان بودم. سر ایشان روی دست چپ من بود که از دنیا رفت. آن‏وقت چطور می‏شود که یک هم‌چنین آدمی از دنیا برود و چیزی نگوید؟! این همین است! او می‏خواهد آن جریان ولایتِ مخفی و آن امتحانی که قرار است پیش بیاید به این وسیله پیش بیاید. [آن ولایت] حالا هر کجا در عالم هست ما که دیگر خبر نداریم! نمی‏دانم اصلاً روی زمین هست یا نیست! گرچه با یک عباراتی [بیان کردند] ولی خب می‏توانند موقع آخر و آن شب آخر بنویسند و [بگویند که] این کاغذ را به همه بروید نشان بدهید و آن‌قدر بچرخانید و از آن برای همۀ افراد زیراکس کنید و پخش کنید. این چیزی نیست که شخص از این مسئلۀ فوق العاده به این مهمی ـ آن هم این آدم! ـ بی اطلاع باشد می‏توانیم بگوییم که اصلاً جزو ممتنعات است و این قضیه اصلاً از مسائل ممتنع است. او می‏خواهد آن جریان، آن قضیۀ امتحان، آن تقابل‏ها، آن مسائلی که همه در نفوس هست و همۀ قضایا پیش بیاید و آن کسانی هم که خیلی راهشان و مکتبشان و نفسشان در همان راستا هست، در این زمینه بیایند حرکت کنند و بروند. شاید هم در اینجا مسائل و چیزهای باطنی دیگری بوده که نباید مطالب خیلی رو بشود؛ ممکن است در این‌وسط معاندینی باشند که بخواهند خراب کنند و چوب لای چرخ بگذارند و اینجا بیایند و درصدد بربیایند. از این مسائل هست دیگر! یااینکه نه، هیچ خبری نیست و یک آقایی بود و رفت و بعد هم تمام شد! اینجا مسائل خیلی هست! اما یکی از چیزهایی که به‌ نظر من می‏رسید این بود و دیدم این توجیه قابلی می‏تواند داشته باشد که این مطلب باید رو بیاید و باید افرادی که در یک حال‌و‌هوای دیگری بودند، زمینۀ برای بروز و ظهورشان فراهم بشود. چطور که بعد از فوت ایشان بنده شنیدم که در یک مجلسی گفته بودند: دیگر آن کسانی که در زمان حیات ایشان دستور می‏دادند حالا بروند و بساطشان را جمع کنند! ببینید چه زود یک‌دفعه قضایا معلوم شد و چه زود مسائل و آنچه که در درون بود پیدا شد و بیا و بروها پیدا شد! ابوسفیان‌های این امّت و ابوسفیان‌هایی که در میان آنها بودند دیگر مجال [پیدا کردند] </w:t>
      </w:r>
      <w:r>
        <w:rPr>
          <w:rStyle w:val="Arabi"/>
          <w:rtl w:val="0"/>
          <w:lang w:val="fa-IR"/>
        </w:rPr>
        <w:t xml:space="preserve">فتَلقَّفوها تلقُّفَ الکرَة.</w:t>
      </w:r>
      <w:r>
        <w:rPr>
          <w:rStyle w:val="FootnoteReference"/>
        </w:rPr>
        <w:footnoteReference w:id="8"/>
      </w:r>
      <w:r>
        <w:rPr>
          <w:rtl w:val="0"/>
          <w:lang w:val="fa-IR"/>
        </w:rPr>
        <w:t xml:space="preserve"> آمدند گفتند که... همان‌هایی که اعتقادی به ولایت اولیاء نداشتند، وقتی برای مرحوم آقا ـ رضوان الله تعالی علیه ـ هدیه می‏آوردند ایشان توسط من هدیۀ آنها را پس می‏فرستادند، آنها آمدند دوره‏گردان این معرکه شدند و همان کلام:</w:t>
      </w:r>
    </w:p>
    <w:p>
      <w:pPr>
        <w:pStyle w:val="She'rMatn"/>
      </w:pPr>
      <w:r>
        <w:rPr>
          <w:rStyle w:val="Arabi"/>
          <w:rtl w:val="0"/>
          <w:lang w:val="fa-IR"/>
        </w:rPr>
        <w:t xml:space="preserve">لَعِبَت هاشمُ بِالمُلکِ فَلا *** خَبرٌ جآء و لا وَحیٌ نَزَل</w:t>
      </w:r>
      <w:r>
        <w:rPr>
          <w:rStyle w:val="FootnoteReference"/>
        </w:rPr>
        <w:footnoteReference w:id="9"/>
      </w:r>
    </w:p>
    <w:p>
      <w:pPr/>
      <w:r>
        <w:rPr>
          <w:rtl w:val="0"/>
          <w:lang w:val="fa-IR"/>
        </w:rPr>
        <w:t xml:space="preserve">همان زمینه قشنگ پیدا شد و بعد هم وارد شدن در این مسائل و دیدید که چه شد و به کجا رسید! دیگر کار به کجا رسید که واقعاً آدم خجالت می‏کشد که بیاید به زبان بیاورد که خیلی‌ها از آن مقام منیع به چه حضیض ذلّتی سقوط کردند.</w:t>
      </w:r>
    </w:p>
    <w:p>
      <w:pPr/>
      <w:r>
        <w:rPr>
          <w:rtl/>
          <w:lang w:val="fa-IR"/>
        </w:rPr>
        <w:t xml:space="preserve">دو سه سال پیش یک سفری داشتم در آنجا یک نامه‏ای برای بعضی‏ها نوشتم و گفتم که واقعاً شما درمقابل آنچه که دارید انجام می‏دهید آیا جلوی بزرگان جواب دارید؟! اینکه الآن دیگر صدای مرده‏شور هم درآمد! الآن در این اوضاعی که هست دیگر صدای مرده‏شور درآمده! گفت: آن‌قدر آشش شور بود که صدای آشپز هم درآمد و گریه و فلان!! حالا به همین قضایا و مسائل چسبیده‏اید! خودتان دارید می‌بینید دیگر چه وضعیت و اوضاعی هست و دیگر نمی‌توانند از خجالت خلق الله سرشان را بالا بکنند. از اینهایی که یک وقتی مورد تأیید بودند و به‌واسطۀ همین تأیید چه بر سر مردم رفت. اینها حالا دیگر باز رها نمی‏کنند. شنیده‏ام که چندی پیش بعضی از اینها گفته‏اند: نه! اصلاً هیچ طوری نیست! همه چیز خوب است! انگارنه‌انگار! گفتم که این دیگر چه یابویی است واقعاً! آخر یابو بودن هم حدّی دارد دیگر! یکی خیلی یابو است! یعنی می‏گوید: همه، مجلس، وکیل، ملّت، مردم، ملائکه، چپ، راست، جن و انس دارند می‏گویند که اوضاع [خراب است]. [می‌گوید:] نه! طوری نیست! هیچ طوری نشده‌ است! اصفهانی هم هست اتفاقاً! قضیه‌ای اتفاق نیفتاده! همه چیز خوب است الحمدلله! هیچ طوری نشده است! هیچ خبری نیست! واقعاً طرف یابو هم باشد! این یابو هم وقتی به او می‏گویند، می‏فهمد بیچاره! آن کسی که الآن دارد این کار را انجام می‏دهد باید این زمینه پیش بیاید تا معلوم بشود او همانی است که اگر در روز عاشورا بود تیر در چلّۀ کمان می‏گذاشت! همین شخص عمامه به سر! همین که دارد این حرف را می‏زند که هیچی نشده‏ است و همه چیز خوب است! او همان است که در روز عاشورا ...! خیال می‏کنید حرمله که بود؟ اینها بودند آقاجان! این آقای شیخی که الآن دارد این حرف را می‏زند و این را می‏گوید، همین در روز عاشورا تیر به سر علی اصغر علیه‌السّلام می‏زد! به آن جدّم امام حسین قسم می‏خورم که او در روز عاشورا این کار را می‌کرد چون یک جریان است! تو الآن خورشید را داری انکار می‏کنی و می‏گویی که شب است! در روز عاشورا چه می‏کردی؟! اینها که در روز عاشورا آمدند و امام حسین علیه‌السّلام [را شهید کردند] دُم نداشتند والله! سُم نداشتند! انیاب و اغوال نداشتند. همین‏ها بودند! همین‏ها بودند که وقتی سیدالشهداء آمد در مقابل آنها محاجّه کرد گفتند: حسین این حرف‏ها را برای خودت می‏زنی، یا بیا بیعت بکن یا ما [تو را به قتل می رسانیم] هیچ چیز متوجه نیست! همین است دیگر! خب بفرمایید! بنده حیّ و حاضر نمونه‏اش را بعد از 1400 سال نشانتان دادم. در این اوضاع مملکت می‏گوید: هیچی نشده آقا! الحمدلله! همه چیز خوب است! چون تمام کارها زیر سؤال می‏رود! برای اینکه کارهای خودش و بقیه زیر سؤال نرود تمام حقایق و واقعیات را انکار می‏کند. تا یک هم‌چنین زمینه‏ای پیش نیاید که این افراد نمی‏توانند خودشان را نشان بدهند. لذا شما نگاه می‏کنید چهره‏ها همه مسخ و عوض شده است. آدم نگاه می‏کند کدورت می‏آید و آدم را می‏گیرد و اصلاً منقلب می‏شود! اینها برای این است که مدام آمده پرده انداخته است. مدام پرده روی پردۀ دیگر، پرده روی پردۀ دیگر دارد در نفسش می‏رود می‏رود می‏رود انکار انکار انکار تا جایی که هفتاد میلیون جمعیت ایران هم بگویند که این است، می‏گوید: نه‌خیر! این است! چه کسی گفته این است؟! بابا هفتاد میلیون دارند می‏گویند که این است، از خودشان هم دارند می‏گویند که این‏طوری است، نه [جبهۀ] مخالف! [می‌گوید که] اشتباه می‏کنند! چشم تو اشتباه می‏بیند! مثلاً چشم تو این [آب] را خربزه می‏بیند! این خربزه است آب نیست! چشم تو بیخود آب می‏بیند! این الآن یک هندوانۀ آن‌قدری است! و انسان به اینجا می‏رسد! این مراقبه‏ای که بزرگان و اولیاء می‏گویند که انسان داشته باشد به‌خاطر این است که آدم به اینجا نرسد که همه یک چیزی بگویند، او برای اینکه روی نفسش بایستد یک حرف دیگر بزند! لذا خواندن قرآن و امثال‌ذلک هیچ فایده‏ای ندارد! اگر شب تا به صبح به نماز شب بگذراند فایده‏ای ندارد دیگر! به جای یک حزبی که گفته‏اند قرآن را هر روز یک دوره بخواند اصلاً سی حزب یا سی جزء بخواند، دیگر فایده‏ای ندارد چون همۀ اینها دارد روی نفس انجام می‏شود، عین خوارج نهروان که قرآن می‏خواندند بعد هم برمی‏داشتند سر زن و بچۀ مردم را می‏بریدند.</w:t>
      </w:r>
      <w:r>
        <w:rPr>
          <w:rStyle w:val="FootnoteReference"/>
        </w:rPr>
        <w:footnoteReference w:id="10"/>
      </w:r>
      <w:r>
        <w:rPr>
          <w:rtl w:val="0"/>
          <w:lang w:val="fa-IR"/>
        </w:rPr>
        <w:t xml:space="preserve"> هیچ! مثل خوارج! هیچ فایده ندارد! خب مسئله این است.</w:t>
      </w:r>
    </w:p>
    <w:p>
      <w:pPr/>
      <w:r>
        <w:rPr>
          <w:rtl w:val="0"/>
          <w:lang w:val="fa-IR"/>
        </w:rPr>
        <w:t xml:space="preserve">لذا اصلاً مسئلۀ ولایت امیرالمؤمنین علیه‌السّلام باید مخفی بماند و نباید ظاهر بشود تااینکه </w:t>
      </w:r>
      <w:r>
        <w:rPr>
          <w:rtl w:val="0"/>
          <w:lang w:val="fa-IR"/>
        </w:rPr>
        <w:t xml:space="preserve">﴿لِّيَهۡلِكَ مَنۡ هَلَكَ عَنۢ بَيِّنَةٖ وَيَحۡيَىٰ مَنۡ حَيَّ عَنۢ بَيِّنَةٖ﴾</w:t>
      </w:r>
      <w:r>
        <w:rPr>
          <w:rStyle w:val="FootnoteReference"/>
        </w:rPr>
        <w:footnoteReference w:id="11"/>
      </w:r>
      <w:r>
        <w:rPr>
          <w:rtl/>
          <w:lang w:val="fa-IR"/>
        </w:rPr>
        <w:t xml:space="preserve"> روشن باشد. وقتی که همه چیز واضح و آشکار هست، دیگر آنجا کار کردن معنا ندارد. آنجا سفره پهن است! وقتی همه چیز روشن است و کسی نمی‏تواند انکار بکند، دیگر در آنجا آمدن و بر خلاف نفس حرکت کردن اصلاً معنا ندارد و فایده ندارد! لذا یادتان باشد من مدام به این مسئله متذکر می‏شوم، وقتی شما خودتان یک مسئله را انجام بدهید مهم است، نه‌اینکه امام زمان بیاید به شما بگوید. اگر امام زمان بیاید به شما بگوید فایده‏ای ندارد دیگر! باید حضور حضرت را در کنار خودتان حس کنید و انجام بدهید نه‌اینکه حضرت بیاید بگوید. آن [دستوری] که حضرت با آن شمائل، با آن جلال، با آن ابّهت و با آن عظمت می‏گوید، نفس در برابر آن ابّهت و عظمت خواهی‌نخواهی خاضع است! فایده‏ای ندارد. مثل اینکه خدا بیاید بگوید که این کار را انجام بده! [می‌گوید که] چشم چشم چشم! می‌روم انجام می‏دهم! و می‏رود انجام هم می‏دهد! حج انجام می‏دهد اما فایده ندارد. آن [عمل] رشد نمی‌دهد. فعلی را که امام علیه‌السّلام دستور بدهد به عنوانی که او امام است و دارای جلال است، فقط همین‌قدر باعث می‏شود که انسان گناه نکند ولی اینکه ثوابی بر آن مترتّب باشد و موجب تقرّب و عبور نفس بشود و بُرش نفس باشد نیست. دستور حضرت همه‌جا هست. انسان باید دستور حضرت را به‌عنوان دستور حضرت انجام بدهد نه به‌عنوان اینکه امام است! یک امام، یک شخصیت، یک موقعیت، یک وضعیت، امام زمان! امام زمان است دیگر باید انجام بدهیم! اینها نتیجۀ چندانی ندارد. نمی‏گویم که بی‏نتیجه است ولی نتیجه‏اش [ناچیز است].</w:t>
      </w:r>
    </w:p>
    <w:p>
      <w:pPr>
        <w:pStyle w:val="Heading6"/>
      </w:pPr>
      <w:r>
        <w:rPr>
          <w:rtl w:val="0"/>
          <w:lang w:val="fa-IR"/>
        </w:rPr>
        <w:t xml:space="preserve">لزوم حس کردن امام زمان در همه‌جا و آثار مترتب بر آن</w:t>
      </w:r>
    </w:p>
    <w:p>
      <w:pPr/>
      <w:r>
        <w:rPr>
          <w:rtl w:val="0"/>
          <w:lang w:val="fa-IR"/>
        </w:rPr>
        <w:t xml:space="preserve">اگر شما حضور حضرت را در کنار خودتان همیشه حس کردید و غیبت او برای شما مثل حضور بود، آن موقع آن عملی را که انجام می‏دهید نفستان را می‏بُرد و عبور می‏دهد و شما را به‌سمت آن حقیقت حرکت می‏دهد چون ولایت حضرت عبارت از عبور نفس است. ولایت امام علیه‌السّلام یعنی عبور نفس از مرتبۀ ظاهر به مرتبۀ حق. پس امام علیه‌السّلام حقّ مطلق است. چرا ما آن حق را فقط در ظهورش دنبال کنیم؟! اگر حق است همه‌جا حق است. اگر حق است او که دیگر غیبت و ظهور ندارد. لذا امام صادق علیه‌السّلام می‏فرماید:</w:t>
      </w:r>
    </w:p>
    <w:p>
      <w:pPr>
        <w:pStyle w:val="NaghlegholMatn"/>
      </w:pPr>
      <w:r>
        <w:rPr>
          <w:rtl w:val="0"/>
          <w:lang w:val="fa-IR"/>
        </w:rPr>
        <w:t xml:space="preserve">کسی که در راه باشد و منتظر قیام قائم ما باشد، درست مثل کسی است که در خیمه خود حضرت است و با آن حضرت وجود دارد و با آن حضرت شهید می‏شود.</w:t>
      </w:r>
      <w:r>
        <w:rPr>
          <w:rStyle w:val="FootnoteReference"/>
        </w:rPr>
        <w:footnoteReference w:id="12"/>
      </w:r>
    </w:p>
    <w:p>
      <w:pPr/>
      <w:r>
        <w:rPr>
          <w:rtl w:val="0"/>
          <w:lang w:val="fa-IR"/>
        </w:rPr>
        <w:t xml:space="preserve">یعنی شهادت پیدا می‏کند. هیچ تفاوتی ندارد چون غیبت خودش را در همان زمانِ ظهور قرار داده و دیگر برای او تفاوتی نمی‏کند که حضرت ظهور بکند [یا نه]! در روایات داریم که تفاوتی ندارد؛ چه ظهور بکند چه ظهور نکند.</w:t>
      </w:r>
      <w:r>
        <w:rPr>
          <w:rStyle w:val="FootnoteReference"/>
        </w:rPr>
        <w:footnoteReference w:id="13"/>
      </w:r>
      <w:r>
        <w:rPr>
          <w:rtl w:val="0"/>
          <w:lang w:val="fa-IR"/>
        </w:rPr>
        <w:t xml:space="preserve"> چون او خودش را همیشه در کنار حضرت قرار داده و وقتی کسی خودش را در کنار حضرت قرار بدهد، خودش را در حق قرار می‏دهد و او خیلی قوی‏تر می‏تواند از نفس عبور کند تااینکه خود حضرت در کنار باشد و بشنود و گوش بدهد. دستوراتی که مرحوم آقا ـ رضوان الله تعالی علیه ـ می‏دادند را یک وقتی درِ خانه بیایند و در بزنند که آقای فلان شما از فردا یک هم‌چنین کاری را انجام بدهید [می‌گوید که] چشم چشم چشم! هرچه امر بفرمایید! می‏رود انجام هم می‏دهد. خب این نحوه انجام بدهد یااینکه نه، احساس بکند این دستور دستورِ ایشان هست یا نیست، حالا برود انجام بدهد! این صد برابر قوی‏تر از آن است و صد مقابل قوی‏تر است. این است که انسان را عبور می‏دهد و از نفس می‏گذراند و به آن واقع و حقیقت مطلب می‏رساند.</w:t>
      </w:r>
    </w:p>
    <w:p>
      <w:pPr/>
      <w:r>
        <w:rPr>
          <w:rtl/>
          <w:lang w:val="fa-IR"/>
        </w:rPr>
        <w:t xml:space="preserve">مرحوم آقا می‏فرمودند که من برای کارهایی که انجام می‏دادم منتظر دستور استادم نمی‏شدم. روش ایشان این بود. یک وقتی استاد به ایشان دستور می‏داد، خب نمی‏داند دیگر. آدم وقتی نمی‏داند باید به او بگویند ولی وقتی که انسان بداند، دیگر برای چه می‏خواهد منتظر باشد؟ خب می‏داند نظرش چیست دیگر! وقتی نظرش هست باید برود انجام بدهد. بعضی‏ها پیش آدم می‏آیند [و می‌گویند که] آقا ما می‏دانیم ولی شما به ما بگو! من هم می‏گویم که هیچ‏وقت هم‌چنین عرائضی ندارم که بخواهم بگویم، اگر می‏دانی برو انجام بده! حالا مثلاً یک عنوان تحریک و تشویق و فلان [می‌خواستند]. ایشان می‏فرمودند: من هیچ‏گاه برای مطالبی که احساس می‏کردم مورد تأیید استادم هست، منتظر دستور او نمی‏شدم. این خیلی انسان را جلو می‏برد! خیلی! اصلاً او را در یک وادی می‏کشاند و او هم وقتی ببیند این‌طوری است، مدام به قلب می‏اندازد! اینها از آن‌طرف می‏آید دیگر! مدام به قلب و نفس و فکر او می‏رسد چون خودش را سپرده است دیگر! از آن‌طرف سیم وصل می‏شود و او دیگر خودش اتوماتیک‏وار می‏آید و آنچه را که باید انجام بدهد انجام می‏دهد.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الكشاف</w:t>
      </w:r>
      <w:r>
        <w:rPr>
          <w:rtl w:val="0"/>
          <w:lang w:val="fa-IR"/>
        </w:rPr>
        <w:t xml:space="preserve">, ج 2, ص 430؛ </w:t>
      </w:r>
      <w:r>
        <w:rPr>
          <w:rtl w:val="0"/>
          <w:lang w:val="fa-IR"/>
        </w:rPr>
        <w:t xml:space="preserve">کامل بهایی</w:t>
      </w:r>
      <w:r>
        <w:rPr>
          <w:rtl w:val="0"/>
          <w:lang w:val="fa-IR"/>
        </w:rPr>
        <w:t xml:space="preserve">،‌ طبری، ص 390.</w:t>
      </w:r>
    </w:p>
  </w:footnote>
  <w:footnote w:id="2">
    <w:p>
      <w:pPr>
        <w:pStyle w:val="FootnoteText"/>
      </w:pPr>
      <w:r>
        <w:rPr>
          <w:rStyle w:val="FootnoteReference"/>
        </w:rPr>
        <w:footnoteRef/>
      </w:r>
      <w:r>
        <w:t xml:space="preserve"> </w:t>
      </w:r>
      <w:r>
        <w:rPr>
          <w:rtl w:val="0"/>
          <w:lang w:val="fa-IR"/>
        </w:rPr>
        <w:t xml:space="preserve">. سوره اسراء (17) آیه 33.</w:t>
      </w:r>
    </w:p>
    <w:p>
      <w:pPr>
        <w:pStyle w:val="FootnoteText"/>
      </w:pPr>
      <w:r>
        <w:rPr>
          <w:rtl w:val="0"/>
          <w:lang w:val="fa-IR"/>
        </w:rPr>
        <w:t xml:space="preserve">ترجمه: « و کسی که خونش به مظلومی و ناحق ریخته شود ما به ولیّ او حکومت و تسلط (بر قاتل) دادیم پس (در مقام انتقام) آن ولی در قتل و خونریزی اسراف نکند که او از جانب ما مؤید و منصور خواهد بود.»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اثبات الهداة</w:t>
      </w:r>
      <w:r>
        <w:rPr>
          <w:rtl w:val="0"/>
          <w:lang w:val="fa-IR"/>
        </w:rPr>
        <w:t xml:space="preserve">، ج 5، ص ۱۹۳؛ </w:t>
      </w:r>
      <w:r>
        <w:rPr>
          <w:rtl w:val="0"/>
          <w:lang w:val="fa-IR"/>
        </w:rPr>
        <w:t xml:space="preserve">بحار الأنوار</w:t>
      </w:r>
      <w:r>
        <w:rPr>
          <w:rtl w:val="0"/>
          <w:lang w:val="fa-IR"/>
        </w:rPr>
        <w:t xml:space="preserve">، ج 5۱، ص ۳۰.</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 </w:t>
      </w:r>
      <w:r>
        <w:rPr>
          <w:rtl w:val="0"/>
          <w:lang w:val="fa-IR"/>
        </w:rPr>
        <w:t xml:space="preserve">علیه‌السّلام، ج ٢، ص ٢٧٢؛ </w:t>
      </w:r>
      <w:r>
        <w:rPr>
          <w:rtl w:val="0"/>
          <w:lang w:val="fa-IR"/>
        </w:rPr>
        <w:t xml:space="preserve">من لایحضره الفقیه</w:t>
      </w:r>
      <w:r>
        <w:rPr>
          <w:rtl w:val="0"/>
          <w:lang w:val="fa-IR"/>
        </w:rPr>
        <w:t xml:space="preserve">، ج ٢، ص ٦١٠؛ </w:t>
      </w:r>
      <w:r>
        <w:rPr>
          <w:rtl w:val="0"/>
          <w:lang w:val="fa-IR"/>
        </w:rPr>
        <w:t xml:space="preserve">اسرار ملکوت</w:t>
      </w:r>
      <w:r>
        <w:rPr>
          <w:rtl w:val="0"/>
          <w:lang w:val="fa-IR"/>
        </w:rPr>
        <w:t xml:space="preserve">، ج 1، ص 269.</w:t>
      </w:r>
    </w:p>
  </w:footnote>
  <w:footnote w:id="5">
    <w:p>
      <w:pPr>
        <w:pStyle w:val="FootnoteText"/>
      </w:pPr>
      <w:r>
        <w:rPr>
          <w:rStyle w:val="FootnoteReference"/>
        </w:rPr>
        <w:footnoteRef/>
      </w:r>
      <w:r>
        <w:t xml:space="preserve"> </w:t>
      </w:r>
      <w:r>
        <w:rPr>
          <w:rtl w:val="0"/>
          <w:lang w:val="fa-IR"/>
        </w:rPr>
        <w:t xml:space="preserve">. سوره عبس (80) آیه 24 ـ 26. </w:t>
      </w:r>
      <w:r>
        <w:rPr>
          <w:rtl w:val="0"/>
          <w:lang w:val="fa-IR"/>
        </w:rPr>
        <w:t xml:space="preserve">امام شناسى</w:t>
      </w:r>
      <w:r>
        <w:rPr>
          <w:rtl w:val="0"/>
          <w:lang w:val="fa-IR"/>
        </w:rPr>
        <w:t xml:space="preserve">، ج ‏11، ص 211:</w:t>
      </w:r>
    </w:p>
    <w:p>
      <w:pPr>
        <w:pStyle w:val="FootnoteText"/>
      </w:pPr>
      <w:r>
        <w:rPr>
          <w:rtl w:val="0"/>
          <w:lang w:val="fa-IR"/>
        </w:rPr>
        <w:t xml:space="preserve">«باید انسان نظرى به طعام خود كند؛ كه ما آب باران را از آسمان فرو ریختیم؛ و سپس زمین را براى رشد نباتات شكافتیم‏.»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تفسیر البرهان</w:t>
      </w:r>
      <w:r>
        <w:rPr>
          <w:rtl w:val="0"/>
          <w:lang w:val="fa-IR"/>
        </w:rPr>
        <w:t xml:space="preserve">, ج 5 , ص 5۸4:</w:t>
      </w:r>
    </w:p>
    <w:p>
      <w:pPr>
        <w:pStyle w:val="FootnoteText"/>
      </w:pPr>
      <w:r>
        <w:rPr>
          <w:rStyle w:val="Arabi"/>
          <w:rtl w:val="0"/>
          <w:lang w:val="fa-IR"/>
        </w:rPr>
        <w:t xml:space="preserve">«عَن زَیدٍ الشَّحام، عَن أبی‌عَبدِالله علیه‌السّلام: فی قول الله عزَّوجَلَّ:</w:t>
      </w:r>
      <w:r>
        <w:rPr>
          <w:rtl w:val="0"/>
          <w:lang w:val="fa-IR"/>
        </w:rPr>
        <w:t xml:space="preserve"> </w:t>
      </w:r>
      <w:r>
        <w:rPr>
          <w:rtl w:val="0"/>
          <w:lang w:val="fa-IR"/>
        </w:rPr>
        <w:t xml:space="preserve">﴿فَلۡيَنظُرِ ٱلۡإِنسَٰنُ إِلَىٰ طَعَامِهِۦٓ﴾</w:t>
      </w:r>
      <w:r>
        <w:rPr>
          <w:rtl w:val="0"/>
          <w:lang w:val="fa-IR"/>
        </w:rPr>
        <w:t xml:space="preserve"> </w:t>
      </w:r>
      <w:r>
        <w:rPr>
          <w:rStyle w:val="Arabi"/>
          <w:rtl w:val="0"/>
          <w:lang w:val="fa-IR"/>
        </w:rPr>
        <w:t xml:space="preserve">قُلتُ: ما طَعامُهُ؟ قالَ:</w:t>
      </w:r>
      <w:r>
        <w:rPr>
          <w:rtl w:val="0"/>
          <w:lang w:val="fa-IR"/>
        </w:rPr>
        <w:t xml:space="preserve"> ”</w:t>
      </w:r>
      <w:r>
        <w:rPr>
          <w:rStyle w:val="RevayatArabi"/>
          <w:rtl w:val="0"/>
          <w:lang w:val="fa-IR"/>
        </w:rPr>
        <w:t xml:space="preserve">عِلمُهُ الّذی یَأخُذُهُ عَمَّن یَأخُذُهُ.“</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الغدیر</w:t>
      </w:r>
      <w:r>
        <w:rPr>
          <w:rtl w:val="0"/>
          <w:lang w:val="fa-IR"/>
        </w:rPr>
        <w:t xml:space="preserve">، ج ١، ص ١٠ و ١١؛ </w:t>
      </w:r>
      <w:r>
        <w:rPr>
          <w:rtl w:val="0"/>
          <w:lang w:val="fa-IR"/>
        </w:rPr>
        <w:t xml:space="preserve">حبیب السّیر</w:t>
      </w:r>
      <w:r>
        <w:rPr>
          <w:rtl w:val="0"/>
          <w:lang w:val="fa-IR"/>
        </w:rPr>
        <w:t xml:space="preserve">، ج ١، جزء سوّم، ص ٤١٠ و ٤١١؛ </w:t>
      </w:r>
      <w:r>
        <w:rPr>
          <w:rtl w:val="0"/>
          <w:lang w:val="fa-IR"/>
        </w:rPr>
        <w:t xml:space="preserve">مناقب، </w:t>
      </w:r>
      <w:r>
        <w:rPr>
          <w:rtl w:val="0"/>
          <w:lang w:val="fa-IR"/>
        </w:rPr>
        <w:t xml:space="preserve">ابن مغازلى، ص ١٦ ـ ١٨؛ </w:t>
      </w:r>
      <w:r>
        <w:rPr>
          <w:rtl w:val="0"/>
          <w:lang w:val="fa-IR"/>
        </w:rPr>
        <w:t xml:space="preserve">الصواعق المحرقة</w:t>
      </w:r>
      <w:r>
        <w:rPr>
          <w:rtl w:val="0"/>
          <w:lang w:val="fa-IR"/>
        </w:rPr>
        <w:t xml:space="preserve">، ص ٢٥؛ </w:t>
      </w:r>
      <w:r>
        <w:rPr>
          <w:rtl w:val="0"/>
          <w:lang w:val="fa-IR"/>
        </w:rPr>
        <w:t xml:space="preserve">امام شناسی</w:t>
      </w:r>
      <w:r>
        <w:rPr>
          <w:rtl w:val="0"/>
          <w:lang w:val="fa-IR"/>
        </w:rPr>
        <w:t xml:space="preserve">، ج 7، ص 69.</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مروج الذّهب</w:t>
      </w:r>
      <w:r>
        <w:rPr>
          <w:rtl w:val="0"/>
          <w:lang w:val="fa-IR"/>
        </w:rPr>
        <w:t xml:space="preserve">، ج ٢، ص ٣٤٢ و ٣٤٣؛ </w:t>
      </w:r>
      <w:r>
        <w:rPr>
          <w:rtl w:val="0"/>
          <w:lang w:val="fa-IR"/>
        </w:rPr>
        <w:t xml:space="preserve">امام شناسی</w:t>
      </w:r>
      <w:r>
        <w:rPr>
          <w:rtl w:val="0"/>
          <w:lang w:val="fa-IR"/>
        </w:rPr>
        <w:t xml:space="preserve">،ج 8، ص 208.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ناسخ التواریخ</w:t>
      </w:r>
      <w:r>
        <w:rPr>
          <w:rtl w:val="0"/>
          <w:lang w:val="fa-IR"/>
        </w:rPr>
        <w:t xml:space="preserve">، ج ٣، ص ١٣٧ و ١٣٧؛ </w:t>
      </w:r>
      <w:r>
        <w:rPr>
          <w:rtl w:val="0"/>
          <w:lang w:val="fa-IR"/>
        </w:rPr>
        <w:t xml:space="preserve">انوار الملکوت</w:t>
      </w:r>
      <w:r>
        <w:rPr>
          <w:rtl w:val="0"/>
          <w:lang w:val="fa-IR"/>
        </w:rPr>
        <w:t xml:space="preserve">، ج 2، ص 80:</w:t>
      </w:r>
    </w:p>
    <w:p>
      <w:pPr>
        <w:pStyle w:val="FootnoteText"/>
      </w:pPr>
      <w:r>
        <w:rPr>
          <w:rtl w:val="0"/>
          <w:lang w:val="fa-IR"/>
        </w:rPr>
        <w:t xml:space="preserve">«فرزندان هاشم چند روزی با سلطنت بازی کردند پس بدانید که نه خبری از عالم غیب هست و نه وحیی بر پیغمبر نازل شده ‌است.»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۲، ص ۷55</w:t>
      </w:r>
    </w:p>
  </w:footnote>
  <w:footnote w:id="11">
    <w:p>
      <w:pPr>
        <w:pStyle w:val="FootnoteText"/>
      </w:pPr>
      <w:r>
        <w:rPr>
          <w:rStyle w:val="FootnoteReference"/>
        </w:rPr>
        <w:footnoteRef/>
      </w:r>
      <w:r>
        <w:t xml:space="preserve"> </w:t>
      </w:r>
      <w:r>
        <w:rPr>
          <w:rtl w:val="0"/>
          <w:lang w:val="fa-IR"/>
        </w:rPr>
        <w:t xml:space="preserve">. سوره انفال (8) آیه 42. </w:t>
      </w:r>
      <w:r>
        <w:rPr>
          <w:rtl w:val="0"/>
          <w:lang w:val="fa-IR"/>
        </w:rPr>
        <w:t xml:space="preserve">الله شناسى</w:t>
      </w:r>
      <w:r>
        <w:rPr>
          <w:rtl w:val="0"/>
          <w:lang w:val="fa-IR"/>
        </w:rPr>
        <w:t xml:space="preserve">، ج ‏1، ص 373:</w:t>
      </w:r>
    </w:p>
    <w:p>
      <w:pPr>
        <w:pStyle w:val="FootnoteText"/>
      </w:pPr>
      <w:r>
        <w:rPr>
          <w:rtl w:val="0"/>
          <w:lang w:val="fa-IR"/>
        </w:rPr>
        <w:t xml:space="preserve">«باید كسانى كه هلاك مى‏شوند از روى حجت و دلیل باشد؛ و كسانى كه زندگانى مى‏یابند نیز از روى حجت و دلیل باشد.»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۱، ص ۱۷4؛ </w:t>
      </w:r>
      <w:r>
        <w:rPr>
          <w:rtl w:val="0"/>
          <w:lang w:val="fa-IR"/>
        </w:rPr>
        <w:t xml:space="preserve">بحار الأنوار</w:t>
      </w:r>
      <w:r>
        <w:rPr>
          <w:rtl w:val="0"/>
          <w:lang w:val="fa-IR"/>
        </w:rPr>
        <w:t xml:space="preserve">، ج 5۲، ص ۱۲6، با قدری اختلاف.</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١، ص ١٥٥:</w:t>
      </w:r>
    </w:p>
    <w:p>
      <w:pPr>
        <w:pStyle w:val="FootnoteText"/>
      </w:pPr>
      <w:r>
        <w:rPr>
          <w:rStyle w:val="Arabi"/>
          <w:rtl w:val="0"/>
          <w:lang w:val="fa-IR"/>
        </w:rPr>
        <w:t xml:space="preserve">«عنِ الفُضَیلِ بنِ یَسارٍ قالَ: سَمِعتُ أباجَعفَرٍ علیه السّلام یَقولُ: ”</w:t>
      </w:r>
      <w:r>
        <w:rPr>
          <w:rStyle w:val="RevayatArabi"/>
          <w:rtl w:val="0"/>
          <w:lang w:val="fa-IR"/>
        </w:rPr>
        <w:t xml:space="preserve">مَن ماتَ و لَیسَ له إمامٌ فَمَوتُهُ میتَةٌ جاهِلیّةٌ، و لا یُعذَرُ النّاسُ حتّیٰ یَعرِفوا إمامَهُم، و مَن ماتَ و هوَ عارِفٌ لإمامِهِ لا یَضُرُّهُ تَقَدَّمَ هذا الأمرُ أو تَأخَّرَ، و مَن ماتَ عارِفًا لإمامِهِ کانَ کَمَن هوَ مَعَ القائمِ فی فُسطاطِه</w:t>
      </w:r>
      <w:r>
        <w:rPr>
          <w:rtl w:val="0"/>
          <w:lang w:val="fa-IR"/>
        </w:rPr>
        <w:t xml:space="preserve">.“» </w:t>
      </w:r>
      <w:r>
        <w:rPr>
          <w:rtl w:val="0"/>
          <w:lang w:val="fa-IR"/>
        </w:rPr>
        <w:t xml:space="preserve">امام شناسی</w:t>
      </w:r>
      <w:r>
        <w:rPr>
          <w:rtl w:val="0"/>
          <w:lang w:val="fa-IR"/>
        </w:rPr>
        <w:t xml:space="preserve">، ج ٣، ص ٣٤:</w:t>
      </w:r>
    </w:p>
    <w:p>
      <w:pPr>
        <w:pStyle w:val="FootnoteText"/>
      </w:pPr>
      <w:r>
        <w:rPr>
          <w:rtl w:val="0"/>
          <w:lang w:val="fa-IR"/>
        </w:rPr>
        <w:t xml:space="preserve">«فضیل می‌گوید: از حضرت امام محمدباقر علیه السّلام شنیدم که می‌فرمود: ”کسی که بمیرد و امامی نداشته باشد، پس مردن او مردن مردم جاهلیت است. و مردم در پیشگاه خدا معذور نیستند مگر زمانی که امام خود را بشناسند. و کسی که بمیرد و معرفت به امام خود پیدا کرده باشد برای او دیگر تفاوتی ندارد، ظهور آن امام جلو افتد یا عقب واقع شود. و کسی که بمیرد درحالی‌که معرفت به امام خود حاصل کرده باشد، مانند کسی است که زنده و با آن حضرت و در چادر آن حضرت باشد.» جهت اطلاع بیشتر از روایات این باب رجوع شود به</w:t>
      </w:r>
      <w:r>
        <w:rPr>
          <w:rtl w:val="0"/>
          <w:lang w:val="fa-IR"/>
        </w:rPr>
        <w:t xml:space="preserve"> الکافی</w:t>
      </w:r>
      <w:r>
        <w:rPr>
          <w:rtl w:val="0"/>
          <w:lang w:val="fa-IR"/>
        </w:rPr>
        <w:t xml:space="preserve">، ج ١، ص ٣٧١ و ٣٧٢؛ </w:t>
      </w:r>
      <w:r>
        <w:rPr>
          <w:rtl w:val="0"/>
          <w:lang w:val="fa-IR"/>
        </w:rPr>
        <w:t xml:space="preserve">آموزه‌های ولایت</w:t>
      </w:r>
      <w:r>
        <w:rPr>
          <w:rtl w:val="0"/>
          <w:lang w:val="fa-IR"/>
        </w:rPr>
        <w:t xml:space="preserve">، ج 3، ص 231.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