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هشتاد و هشتم</w:t>
      </w:r>
    </w:p>
    <w:p>
      <w:pPr>
        <w:pStyle w:val="Heading5"/>
      </w:pPr>
      <w:r>
        <w:rPr>
          <w:rtl w:val="0"/>
          <w:lang w:val="fa-IR"/>
        </w:rPr>
        <w:t xml:space="preserve">بیان دلیل اول مرحوم شیخ اشراق برای اثبات عقل مجرده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r>
        <w:rPr>
          <w:rtl w:val="0"/>
          <w:lang w:val="fa-IR"/>
        </w:rPr>
        <w:t xml:space="preserve">در تتمۀ دلیل اولِ مرحوم صاحب </w:t>
      </w:r>
      <w:r>
        <w:rPr>
          <w:rtl w:val="0"/>
          <w:lang w:val="fa-IR"/>
        </w:rPr>
        <w:t xml:space="preserve">مطارحات </w:t>
      </w:r>
      <w:r>
        <w:rPr>
          <w:rtl w:val="0"/>
          <w:lang w:val="fa-IR"/>
        </w:rPr>
        <w:t xml:space="preserve">كه ما گفتیم که در واقع دو دلیل محسوب مى‏شود اما مرحوم آخوند آن را به‌عنوان یك دلیل ذكر كرده‏اند. صحبت در این بود كه تمام افاعیلى كه در وجود انسان یا نبات یا حیوان هست اینها در خودشان نفس إعمال رویه دارند. وقتى که علتی یک تأثیری در معلول مى‏گذارد آن تأثیر از همان جهت علیت است و اختلاف در این افاعیل و قوا به‌نحو شدت و ضعف و به‌نحو اختلاف ماهوى و اشكال و صور مختلفه و تخطیط یعنى همین برنامه و تشكّلى كه فاعلیت این قوا پیدا مى‏كند به‌طوركلى نمى‏تواند در تحت یك تدبیر و اراده‌ای باشد که بتواند نسبت به سایر امور نیز ادراك و شعور [داشته] باشد. هر قوه‏اى كار خودش را انجام مى‏دهد مثل انسانى كه پیش طبیب مى‏رود، طبیب مى‏گوید که كار من فقط در [زمینۀ] استخوان است و دیگر به مغز، كلیه، قلب و جهاز هاضمۀ شما كارى ندارم. اگر اعضاى دیگر شما درد مى‏كند باید پیش طبیب دیگرى بروید. پیش آن كه رفتى او مى‏گوید که این عكس‏ها را بگیر و این كارها را انجام بده، بعد می‌گوید:‌ مشكلى در كلیه نداری.</w:t>
      </w:r>
    </w:p>
    <w:p>
      <w:pPr/>
      <w:r>
        <w:rPr>
          <w:rtl w:val="0"/>
          <w:lang w:val="fa-IR"/>
        </w:rPr>
        <w:t xml:space="preserve">حالا فرض کنید که باید به قسمت معده بروید. هركدام كار خودشان را انجام مى‏دهند و در حیطۀ تخصص خودشان اظهارنظر مى‏كنند. قواى نامیه و مبدله و غاذیه در وجود انسان هركدام كار خودشان را انجام مى‏دهند و كارى به دیگرى ندارند و در اینجا نسبت به دیگرى إعمال‌ رویه انجام نمى‏شود به‌طورى‌كه اگر یك قوه بخواهد از روى شعور و ادراك نه‌تنها نسبت به فعل خودش داراى شعور و ادراك باشد بلکه نسبت به كلّ مسائل و قواى دیگر هم بتواند ادراك و شعور داشته باشد طبعاً هم‌چنین مسئله‏اى مستحیل است و به مزاح اشبه است. باید یك عقل مدیر و مستقل و مدبرى باشد تااینكه آن عقل هركدام از این قوا را در مسیر و راه خود مورد بهره‏بردارى قرار بدهد. همان‏طور كه خود ما هم همین كار را انجام مى‏دهیم. دست داراى قوۀ ماسكه است و مى‏تواند این [شى‏ء] را بردارد اما من باید دست را در اینجا به‌كار بگیرم تااینكه این را بردارد یااینکه این را برندارد و این لیوان را بردارد یا این لیوان را برندارد و این كتاب را بردارد، خود دست فقط داراى قوۀ ماسكه است و شعور ندارد كه لیوان را بردارد یا ظرف آب یا كتاب و یا قلم را بردارد. آن قوه‏اى كه در نفس انسان هست آن نفس ناطقه، آن مدیر، آن مدبر و آن عقل كه آن امور را مى‏گرداند از همۀ اینها براى رسیدن به مقصود خود استفاده مى‏كند مثلاً از چشم، گوش، زبان، دست، پا و ... براى رسیدن به مطلوب استفاده مى‏كند.</w:t>
      </w:r>
    </w:p>
    <w:p>
      <w:pPr/>
      <w:r>
        <w:rPr>
          <w:rtl w:val="0"/>
          <w:lang w:val="fa-IR"/>
        </w:rPr>
        <w:t xml:space="preserve">روى این جهت خود این قوا كه در وجود اعضاء منبث و پراكنده هستند، شعور و ادراكِ تدبیر ندارند. بله، ممكن است بگوییم که داراى شعور در إعمال رویه هستند ولى شعور در تدبیر كه این كار را انجام بدهند و آن كار را انجام ندهند و در این ساعت این عمل را انجام بدهند و در ساعت دیگر... نسبت به مسائل مختلفه [این شعور را ندارند] که در اینجا دیگر مسائل، فنون و علومى است كه مختص به خودش است.</w:t>
      </w:r>
    </w:p>
    <w:p>
      <w:pPr/>
      <w:r>
        <w:rPr>
          <w:rtl w:val="0"/>
          <w:lang w:val="fa-IR"/>
        </w:rPr>
        <w:t xml:space="preserve">یادم هست یک وقت مرحوم آقا ـ رضوان ‌الله‌ تعالی علیه ـ این شعر را که برای سعدى است مى‏خواندند و ایراد مى‏گرفتند.</w:t>
      </w:r>
    </w:p>
    <w:p>
      <w:pPr>
        <w:pStyle w:val="She'rMatn"/>
      </w:pPr>
      <w:r>
        <w:rPr>
          <w:rtl w:val="0"/>
          <w:lang w:val="fa-IR"/>
        </w:rPr>
        <w:t xml:space="preserve">قضا دگر نشود گر هزار ناله و آه *** به کفر یا به شکایت برآید از دهنی</w:t>
      </w:r>
    </w:p>
    <w:p>
      <w:pPr>
        <w:pStyle w:val="She'rMatn"/>
      </w:pPr>
      <w:r>
        <w:rPr>
          <w:rtl w:val="0"/>
          <w:lang w:val="fa-IR"/>
        </w:rPr>
        <w:t xml:space="preserve">فرشته‌ای که وکیل است بر خزاین باد *** چه غم خورد که بمیرد چراغ پیرزنی</w:t>
      </w:r>
      <w:r>
        <w:rPr>
          <w:rStyle w:val="FootnoteReference"/>
        </w:rPr>
        <w:footnoteReference w:id="2"/>
      </w:r>
    </w:p>
    <w:p>
      <w:pPr/>
      <w:r>
        <w:rPr>
          <w:rtl w:val="0"/>
          <w:lang w:val="fa-IR"/>
        </w:rPr>
        <w:t xml:space="preserve">می‌گوید که آن فرشته فقط به‌دنبال این است كه این عمل را انجام بدهد و كاری به این ندارد كه چراغ پیرزن ازبین مى‏رود و فقط وظیفه‏اش این است كه </w:t>
      </w:r>
      <w:r>
        <w:rPr>
          <w:rtl w:val="0"/>
          <w:lang w:val="fa-IR"/>
        </w:rPr>
        <w:t xml:space="preserve">﴿فَٱلۡمُدَبِّرَٰتِ أَمۡرٗا﴾</w:t>
      </w:r>
      <w:r>
        <w:rPr>
          <w:rStyle w:val="FootnoteReference"/>
        </w:rPr>
        <w:footnoteReference w:id="3"/>
      </w:r>
      <w:r>
        <w:rPr>
          <w:rtl w:val="0"/>
          <w:lang w:val="fa-IR"/>
        </w:rPr>
        <w:t xml:space="preserve"> بیاید و مشیّتى را كه تعلّق گرفته است انفاذ و تنفیذ ‏كند.</w:t>
      </w:r>
    </w:p>
    <w:p>
      <w:pPr/>
      <w:r>
        <w:rPr>
          <w:rtl w:val="0"/>
          <w:lang w:val="fa-IR"/>
        </w:rPr>
        <w:t xml:space="preserve">ایشان مى‏فرمودند: نه! آن چراغ پیرزن هم اگر تقدیر باشد، می‌میرد و خاموش مى‏شود و اگر تقدیر نباشد هزار طوفان هم نمى‏تواند آن چراغ را خاموش كند! خب موارد بسیار عدیده‏اى دیده شده است و مسئله ثابت است كه در عین وقوع یك حادثه، انسان مشاهده مى‏كند چطور بعضى از افراد از آن حادثه جان سالم به درمى‏برند! خب این یک مسئله است البته ما به‌نحوى هم مى‏توانیم توجیه كنیم.</w:t>
      </w:r>
    </w:p>
    <w:p>
      <w:pPr>
        <w:pStyle w:val="She'rMatn"/>
      </w:pPr>
      <w:r>
        <w:rPr>
          <w:rtl w:val="0"/>
          <w:lang w:val="fa-IR"/>
        </w:rPr>
        <w:t xml:space="preserve">قضا دگر نشود گر هزار ناله و آه *** به کفر یا به شکایت برآید از دهنی</w:t>
      </w:r>
    </w:p>
    <w:p>
      <w:pPr>
        <w:pStyle w:val="Heading6"/>
      </w:pPr>
      <w:r>
        <w:rPr>
          <w:rtl w:val="0"/>
          <w:lang w:val="fa-IR"/>
        </w:rPr>
        <w:t xml:space="preserve">‏تغییر مسائل بداء و قضا و قدر به‌واسطۀ دعا</w:t>
      </w:r>
    </w:p>
    <w:p>
      <w:pPr/>
      <w:r>
        <w:rPr>
          <w:rtl w:val="0"/>
          <w:lang w:val="fa-IR"/>
        </w:rPr>
        <w:t xml:space="preserve">البته به این بیت اشكال وارد است که به شكر و یا به شكایت قضا تغیّر و تبدّل پیدا مى‏كند. </w:t>
      </w:r>
      <w:r>
        <w:rPr>
          <w:rtl w:val="0"/>
          <w:lang w:val="fa-IR"/>
        </w:rPr>
        <w:t xml:space="preserve">﴿مَا نَنسَخۡ مِنۡ ءَايَةٍ أَوۡ نُنسِهَا نَأۡتِ بِخَيۡرٖ مِّنۡهَآ أَوۡ مِثۡلِهَآ﴾</w:t>
      </w:r>
      <w:r>
        <w:rPr>
          <w:rStyle w:val="FootnoteReference"/>
        </w:rPr>
        <w:footnoteReference w:id="4"/>
      </w:r>
      <w:r>
        <w:rPr>
          <w:rtl w:val="0"/>
          <w:lang w:val="fa-IR"/>
        </w:rPr>
        <w:t xml:space="preserve"> هم‌چنین در مسائل بداء و مسائل دیگر؛ تبدل حال و تبدل قضاء و قدر و امثال‌ذلك، اینها امورى هستند كه به‌واسطۀ دعا تغییر پیدا مى‏‌كنند و خود دعا هم در مسیر قضاء و قدر است. جناب سعدى تصورشان بر این است كه یک لوحِ محفوظى هست و تقدیر بر آن لوح محفوظ، فلان مسئله را رقم زده و تمام شد و دیگر كارى به سایر مسائل نداریم ولى باید به ایشان گفت كه در همان لوح تقدیر كه لوح محفوظ است و همۀ تقدیرات و حوادث عالم كون در آنجا نشئت گرفته و علم عنایى در آنجا تحقق پیدا كرده است، خود دعا و ناله و ابتهال هم در مسیر تثبیتِ مشیت رقم خورده است؛ یعنى قضاى الهى تا اینجا قرار است بیاید و به اینجا كه رسید فلان دعا، فلان ندامت، فلان توبه و فلان ابتهال [تغییرش مى‏دهد] مثل داستان حضرت یونس كه داستان خیلى عجیبى است! واقعاً در این قرآن، ما توحید را </w:t>
      </w:r>
      <w:r>
        <w:rPr>
          <w:rStyle w:val="Arabi"/>
          <w:rtl w:val="0"/>
          <w:lang w:val="fa-IR"/>
        </w:rPr>
        <w:t xml:space="preserve">بتمام معنى الکلمة </w:t>
      </w:r>
      <w:r>
        <w:rPr>
          <w:rtl w:val="0"/>
          <w:lang w:val="fa-IR"/>
        </w:rPr>
        <w:t xml:space="preserve">مشاهده مى‏كنیم كه چگونه از ذات پروردگار آثار و صفاتش دارد در عالم نشر پیدا مى‏كند و همۀ این مسائل براى علم ما و براى تبدل جهل ماست.</w:t>
      </w:r>
    </w:p>
    <w:p>
      <w:pPr>
        <w:pStyle w:val="Heading6"/>
      </w:pPr>
      <w:r>
        <w:rPr>
          <w:rtl w:val="0"/>
          <w:lang w:val="fa-IR"/>
        </w:rPr>
        <w:t xml:space="preserve">اسرار نهفته در داستان‌های قرآن</w:t>
      </w:r>
    </w:p>
    <w:p>
      <w:pPr/>
      <w:r>
        <w:rPr>
          <w:rtl w:val="0"/>
          <w:lang w:val="fa-IR"/>
        </w:rPr>
        <w:t xml:space="preserve">در داستان حضرت یوسف اسرار عجیبى نهفته است، در داستان حضرت موسى و خضر علیهما‌السّلام [اسرار عجیبی نهفته است] و در داستان حضرت یونس: </w:t>
      </w:r>
      <w:r>
        <w:rPr>
          <w:rtl w:val="0"/>
          <w:lang w:val="fa-IR"/>
        </w:rPr>
        <w:t xml:space="preserve">﴿وَذَا ٱلنُّونِ إِذ ذَّهَبَ مُغَٰضِبٗا فَظَنَّ أَن لَّن نَّقۡدِرَ عَلَيۡهِ﴾</w:t>
      </w:r>
      <w:r>
        <w:rPr>
          <w:rStyle w:val="FootnoteReference"/>
        </w:rPr>
        <w:footnoteReference w:id="5"/>
      </w:r>
      <w:r>
        <w:rPr>
          <w:rtl w:val="0"/>
          <w:lang w:val="fa-IR"/>
        </w:rPr>
        <w:t xml:space="preserve"> حضرت یونس پیغمبر خداست، پیغمبر خدا كه گناه نمى‏كند، پیغمبر خدا مكلف بر اجراى تكلیف است كه تكلیف را انجام بدهد. حضرت یونس می‌‌آید تبلیغ رسالت را مى‏كند اما قومش او را مسخره مى‏كنند و حرفش را گوش نمى‏دهند. او هم نفرین مى‏كند و نفرینش هم نافذ است!</w:t>
      </w:r>
    </w:p>
    <w:p>
      <w:pPr>
        <w:pStyle w:val="Heading6"/>
      </w:pPr>
      <w:r>
        <w:rPr>
          <w:rtl w:val="0"/>
          <w:lang w:val="fa-IR"/>
        </w:rPr>
        <w:t xml:space="preserve">نفرین پیامبران، در مسیر اجراى رسالت</w:t>
      </w:r>
    </w:p>
    <w:p>
      <w:pPr/>
      <w:r>
        <w:rPr>
          <w:rtl w:val="0"/>
          <w:lang w:val="fa-IR"/>
        </w:rPr>
        <w:t xml:space="preserve">چون پیغمبر وقتى كه نفرین كند نفرین او، نفرین یك فرد عادى نیست بلکه نفرین او نفرین در اجراى رسالت است؛ یعنى این‌طور نیست كه یک پیغمبر همین‌طور بیاید کناری بنشیند و یک نفرینی بكند و حالا یا خدا برآورده ‏كند و یا ملائكه چانه بزنند و بگویند که مثلاً یا رسول خدا یك‌خرده‏ دست نگه‌دار و یك‌خرده صبر كن تا ببینیم چه مى‏شود بلکه این مردم آمدند، نه! وقتى كه خدا رسولى را مى‏فرستد تمام امكانات و قوا را هم همراه با آن رسول مى‏فرستد مگر اینكه خود آن [رسول] در مقام تخاطب صبر كند. در داستان حضرت نوح داریم که مدام نفرین مى‏كرد و خدا مى‏گفت که صبر كن.</w:t>
      </w:r>
    </w:p>
    <w:p>
      <w:pPr/>
      <w:r>
        <w:rPr>
          <w:rtl w:val="0"/>
          <w:lang w:val="fa-IR"/>
        </w:rPr>
        <w:t xml:space="preserve">اما اگر قرار بر این باشد كه پیغمبر عملى را از روى قصد و انشاء بخواهد انجام بدهد، آن دیگر ردخور ندارد چون خودش دارد إعمال مى‏كند و این قوا در اختیار او قرار داده شده است كه بیاید در راه رسالت و در راه ابلاغ تكلیف إعمال كند و این برنامه هم جزو برنامۀ او در اینجا قرار دارد.</w:t>
      </w:r>
    </w:p>
    <w:p>
      <w:pPr>
        <w:pStyle w:val="Heading6"/>
      </w:pPr>
      <w:r>
        <w:rPr>
          <w:rtl w:val="0"/>
          <w:lang w:val="fa-IR"/>
        </w:rPr>
        <w:t xml:space="preserve">عدم نزول عذاب درصورت حضور پیامبر و ولیّ در یک مکان</w:t>
      </w:r>
    </w:p>
    <w:p>
      <w:pPr/>
      <w:r>
        <w:rPr>
          <w:rtl w:val="0"/>
          <w:lang w:val="fa-IR"/>
        </w:rPr>
        <w:t xml:space="preserve">خب حضرت یونس نفرین مى‏كند و می‌گوید كه خدایا هرچه انجام دادم فایده ندارد، اینها كافرند و ما را مسخره مى‏كنند و دارند تو را استهزاء می‌کنند و دیگر نتیجه‏اى ندارد پس زمین خودت را از لوث وجود اینها پاك گردان! خب عذاب هم مى‏آید. حضرت وقتى مى‏بیند كه دارد عذاب مى‏آید و چون ممكن است ایشان را هم بگیرد از آنجا بیرون مى‏آید، این بیرون آمدن هم خطابش از آنجاست؛ یعنى خدا به او خطاب مى‏كند كه بیا بیرون تا این عذاب دامن تو را نگیرد یااینكه اگر تو بخواهى در اینجا باشى دیگر عذاب نمى‏آید، این قسم دوم هم چیز شده است. </w:t>
      </w:r>
      <w:r>
        <w:rPr>
          <w:rtl w:val="0"/>
          <w:lang w:val="fa-IR"/>
        </w:rPr>
        <w:t xml:space="preserve">﴿وَمَا كَانَ ٱللَهُ لِيُعَذِّبَهُمۡ وَأَنتَ فِيهِمۡ وَمَا كَانَ ٱللَهُ مُعَذِّبَهُمۡ وَهُمۡ يَسۡتَغۡفِرُونَ﴾</w:t>
      </w:r>
      <w:r>
        <w:rPr>
          <w:rStyle w:val="FootnoteReference"/>
        </w:rPr>
        <w:footnoteReference w:id="6"/>
      </w:r>
      <w:r>
        <w:rPr>
          <w:rtl/>
          <w:lang w:val="fa-IR"/>
        </w:rPr>
        <w:t xml:space="preserve"> اگر مى‏خواهى عذاب بیاید باید از اینجا خارج شوى و باید از این مكان بیرون بیایى چون تو وسیلۀ رحمتى، وسیلۀ رحمت كه نمى‏شود [باعث عذاب شود]. لذا خدا به حضرت لوط هم مى‏گوید که از اینجا خارج شو، </w:t>
      </w:r>
      <w:r>
        <w:rPr>
          <w:rtl w:val="0"/>
          <w:lang w:val="fa-IR"/>
        </w:rPr>
        <w:t xml:space="preserve">﴿إِلَّا ٱمۡرَأَتَكَ﴾</w:t>
      </w:r>
      <w:r>
        <w:rPr>
          <w:rStyle w:val="FootnoteReference"/>
        </w:rPr>
        <w:footnoteReference w:id="7"/>
      </w:r>
      <w:r>
        <w:rPr>
          <w:rtl w:val="0"/>
          <w:lang w:val="fa-IR"/>
        </w:rPr>
        <w:t xml:space="preserve"> به حضرت لوط هم مى‏گوید كه عذاب مى‏خواهد بیاید و از این شهر بیرون برو چون اگر بخواهى در این شهر باشى دیگر عذاب معنا ندارد و امثال‌ذلك.</w:t>
      </w:r>
    </w:p>
    <w:p>
      <w:pPr/>
      <w:r>
        <w:rPr>
          <w:rtl w:val="0"/>
          <w:lang w:val="fa-IR"/>
        </w:rPr>
        <w:t xml:space="preserve">حضرت یونس [از شهر] بیرون مى‏آید، وقتى كه حضرت یونس بیرون مى‏آید، آن‏وقت آن عذاب که می‌خواست نازل بشود افراد جمع مى‏شوند، دیگر داستان خودش را دارد که مردم توبه مى‏كنند و...</w:t>
      </w:r>
    </w:p>
    <w:p>
      <w:pPr>
        <w:pStyle w:val="Heading6"/>
      </w:pPr>
      <w:r>
        <w:rPr>
          <w:rtl w:val="0"/>
          <w:lang w:val="fa-IR"/>
        </w:rPr>
        <w:t xml:space="preserve">علت حبس حضرت یونس در شکم ماهی</w:t>
      </w:r>
    </w:p>
    <w:p>
      <w:pPr/>
      <w:r>
        <w:rPr>
          <w:rtl w:val="0"/>
          <w:lang w:val="fa-IR"/>
        </w:rPr>
        <w:t xml:space="preserve">حالا حضرت یونس که بیرون می‌آید و سوار كشتى مى‏شود که دوباره برگردد ببیند که دیگر همه چیز درست و روبه‌راه شده است، همۀ مردم مسلمان شده‏اند، ایمان آورده‏اند و آدم‌های خوبی شده‏اند، حالا این چه قضیه‏اى است كه حضرت یونس باید چهل روز در شكم ماهى باشد؟! چون خود حضرت یونس هم بالأخره سیر خودش را دارد. </w:t>
      </w:r>
      <w:r>
        <w:rPr>
          <w:rtl w:val="0"/>
          <w:lang w:val="fa-IR"/>
        </w:rPr>
        <w:t xml:space="preserve">﴿فَظَنَّ أَن لَّن نَّقۡدِرَ عَلَيۡهِ﴾</w:t>
      </w:r>
      <w:r>
        <w:rPr>
          <w:rStyle w:val="FootnoteReference"/>
        </w:rPr>
        <w:footnoteReference w:id="8"/>
      </w:r>
      <w:r>
        <w:rPr>
          <w:rtl w:val="0"/>
          <w:lang w:val="fa-IR"/>
        </w:rPr>
        <w:t xml:space="preserve"> خیلى عجیب است! حضرت گمان كرد كه ما بر او قادر نیستیم! البته بعضى‏ها گفته‏اند كه </w:t>
      </w:r>
      <w:r>
        <w:rPr>
          <w:rtl w:val="0"/>
          <w:lang w:val="fa-IR"/>
        </w:rPr>
        <w:t xml:space="preserve">﴿نَّقۡدِرَ﴾</w:t>
      </w:r>
      <w:r>
        <w:rPr>
          <w:rtl w:val="0"/>
          <w:lang w:val="fa-IR"/>
        </w:rPr>
        <w:t xml:space="preserve"> معناى غلبه و قدرت نیست. مرحوم علامه ـ رضوان ‌الله‌ تعالی علیه ـ در تفسیر دارند كه پیغمبر نمی‌آید </w:t>
      </w:r>
      <w:r>
        <w:rPr>
          <w:rtl w:val="0"/>
          <w:lang w:val="fa-IR"/>
        </w:rPr>
        <w:t xml:space="preserve">﴿فَظَنَّ أَن لَّن نَّقۡدِرَ﴾</w:t>
      </w:r>
      <w:r>
        <w:rPr>
          <w:rtl w:val="0"/>
          <w:lang w:val="fa-IR"/>
        </w:rPr>
        <w:t xml:space="preserve"> بکند چون با عصمت انبیاء [نمى‏سازد] پس این همان معنای </w:t>
      </w:r>
      <w:r>
        <w:rPr>
          <w:rStyle w:val="Arabi"/>
          <w:rtl w:val="0"/>
          <w:lang w:val="fa-IR"/>
        </w:rPr>
        <w:t xml:space="preserve">فَظَنَّ أن لَم نأخُذَهُ </w:t>
      </w:r>
      <w:r>
        <w:rPr>
          <w:rtl w:val="0"/>
          <w:lang w:val="fa-IR"/>
        </w:rPr>
        <w:t xml:space="preserve">«ما او را بگیریم» می‌دهد، </w:t>
      </w:r>
      <w:r>
        <w:rPr>
          <w:rStyle w:val="Arabi"/>
          <w:rtl w:val="0"/>
          <w:lang w:val="fa-IR"/>
        </w:rPr>
        <w:t xml:space="preserve">نأخُذَهُ و نَکتَنِفَهُ</w:t>
      </w:r>
      <w:r>
        <w:rPr>
          <w:rtl w:val="0"/>
          <w:lang w:val="fa-IR"/>
        </w:rPr>
        <w:t xml:space="preserve"> در چیز قرار بدهیم.</w:t>
      </w:r>
      <w:r>
        <w:rPr>
          <w:rStyle w:val="FootnoteReference"/>
        </w:rPr>
        <w:footnoteReference w:id="9"/>
      </w:r>
    </w:p>
    <w:p>
      <w:pPr/>
      <w:r>
        <w:rPr>
          <w:rtl w:val="0"/>
          <w:lang w:val="fa-IR"/>
        </w:rPr>
        <w:t xml:space="preserve">ولیكن فرقى نمى‏كند معنا یكى است و تفاوتى نمى‏كند! همین‌كه مى‏گوید: </w:t>
      </w:r>
      <w:r>
        <w:rPr>
          <w:rtl w:val="0"/>
          <w:lang w:val="fa-IR"/>
        </w:rPr>
        <w:t xml:space="preserve">﴿فَظَنَّ﴾،</w:t>
      </w:r>
      <w:r>
        <w:rPr>
          <w:rtl w:val="0"/>
          <w:lang w:val="fa-IR"/>
        </w:rPr>
        <w:t xml:space="preserve"> </w:t>
      </w:r>
      <w:r>
        <w:rPr>
          <w:rtl w:val="0"/>
          <w:lang w:val="fa-IR"/>
        </w:rPr>
        <w:t xml:space="preserve">﴿فَظَنَّ﴾</w:t>
      </w:r>
      <w:r>
        <w:rPr>
          <w:rtl w:val="0"/>
          <w:lang w:val="fa-IR"/>
        </w:rPr>
        <w:t xml:space="preserve"> حالا دیگر چه آن معنا را بگیرید و چه این را، یعنى</w:t>
      </w:r>
      <w:r>
        <w:rPr>
          <w:rStyle w:val="Arabi"/>
          <w:rtl w:val="0"/>
          <w:lang w:val="fa-IR"/>
        </w:rPr>
        <w:t xml:space="preserve"> </w:t>
      </w:r>
      <w:r>
        <w:rPr>
          <w:rtl w:val="0"/>
          <w:lang w:val="fa-IR"/>
        </w:rPr>
        <w:t xml:space="preserve">﴿فَظَنَّ﴾</w:t>
      </w:r>
      <w:r>
        <w:rPr>
          <w:rtl w:val="0"/>
          <w:lang w:val="fa-IR"/>
        </w:rPr>
        <w:t xml:space="preserve"> اینکه از تحت قدرت ما خارج است یعنی از این تحت قدرت بیرون می‌آید و خودش مى‏تواند از آن عذاب فرار كند و كنار بیاید و همۀ اینها روى حساب است ها! تا كسى به آن مراتب نرسیده یا حداقل بویى از آنها نبرده باشد اصلاً نمى‏تواند این آیات را بفهمد. یعنى چه؟! حضرت یونس بیرون بیاید و چهل روز هم در شكم ماهى باشد، خب یعنی چه؟! اگر كسى از شما سؤال كند یا از این آقایان سؤال کند كه آقا یعنى چه که خدا حضرت یونس را چهل روز عذاب بدهد؟! </w:t>
      </w:r>
      <w:r>
        <w:rPr>
          <w:rtl w:val="0"/>
          <w:lang w:val="fa-IR"/>
        </w:rPr>
        <w:t xml:space="preserve">﴿فَنَادَىٰ فِي ٱلظُّلُمَٰتِ أَن لَّآ إِلَٰهَ إِلَّآ أَنتَ سُبۡحَٰنَكَ إِنِّي كُنتُ مِنَ ٱلظَّٰلِمِينَ</w:t>
      </w:r>
      <w:r>
        <w:rPr>
          <w:rtl w:val="0"/>
          <w:lang w:val="fa-IR"/>
        </w:rPr>
        <w:t xml:space="preserve">* </w:t>
      </w:r>
      <w:r>
        <w:rPr>
          <w:rtl w:val="0"/>
          <w:lang w:val="fa-IR"/>
        </w:rPr>
        <w:t xml:space="preserve">فَٱسۡتَجَبۡنَا لَهُۥ وَنَجَّيۡنَٰهُ مِنَ ٱلۡغَمِّ وَكَذَٰلِكَ نُ‍ۨجِي ٱلۡمُؤۡمِنِينَ﴾</w:t>
      </w:r>
      <w:r>
        <w:rPr>
          <w:rStyle w:val="FootnoteReference"/>
        </w:rPr>
        <w:footnoteReference w:id="10"/>
      </w:r>
      <w:r>
        <w:rPr>
          <w:rtl w:val="0"/>
          <w:lang w:val="fa-IR"/>
        </w:rPr>
        <w:t xml:space="preserve"> خب براى چه؟! مگر پیغمبر خدا گناه كرده است؟! مگر پیغمبر خدا معصیت كرده است؟! تكلیف را انجام داده و مسخره‏اش كرده‏اند و او هم نفرین كرده و عذاب آمده است دیگر چهل روز در شكم ماهى بودن یعنى چه؟! چون این‌همه سیر براى خود این پیغمبر است! خود این پیغمبر هم در مسیر كمال خودش باید به مرتبۀ توحید برسد و او هم باید راه خودش را طى كند. آیا ما خبر داریم در آن‌وقتى كه حضرت یونس داشت نفرین مى‏كرد چه تفكرى داشت؟! ما كه نمى‏دانیم، شاید همین‏جا قرار است كه یک مسئله‏اى اتفاق بیفتد. اینکه الآن دارد نفرین مى‏كند و [می‌گوید که] اینها فایده‏اى ندارند چه تفکری دارد؟! اما پیغمبر ما هیچ‌وقت نفرین نكرد! مى‏فرمود: «</w:t>
      </w:r>
      <w:r>
        <w:rPr>
          <w:rStyle w:val="RevayatArabi"/>
          <w:rtl w:val="0"/>
          <w:lang w:val="fa-IR"/>
        </w:rPr>
        <w:t xml:space="preserve">اللهمَّ إهدِ قَومی فإنّهم لا یَعلمون!</w:t>
      </w:r>
      <w:r>
        <w:rPr>
          <w:rtl w:val="0"/>
          <w:lang w:val="fa-IR"/>
        </w:rPr>
        <w:t xml:space="preserve">»</w:t>
      </w:r>
      <w:r>
        <w:rPr>
          <w:rStyle w:val="FootnoteReference"/>
        </w:rPr>
        <w:footnoteReference w:id="11"/>
      </w:r>
      <w:r>
        <w:rPr>
          <w:rtl w:val="0"/>
          <w:lang w:val="fa-IR"/>
        </w:rPr>
        <w:t xml:space="preserve"> اما حضرت نوح نفرین كرد،</w:t>
      </w:r>
      <w:r>
        <w:rPr>
          <w:rStyle w:val="FootnoteReference"/>
        </w:rPr>
        <w:footnoteReference w:id="12"/>
      </w:r>
      <w:r>
        <w:rPr>
          <w:rtl w:val="0"/>
          <w:lang w:val="fa-IR"/>
        </w:rPr>
        <w:t xml:space="preserve"> حضرت یونس نفرین كرد، حضرت لوط نفرین كرد.</w:t>
      </w:r>
      <w:r>
        <w:rPr>
          <w:rStyle w:val="FootnoteReference"/>
        </w:rPr>
        <w:footnoteReference w:id="13"/>
      </w:r>
      <w:r>
        <w:rPr>
          <w:rtl w:val="0"/>
          <w:lang w:val="fa-IR"/>
        </w:rPr>
        <w:t xml:space="preserve"> اینها همه نفرین کردند. خب آنها هم باید انجام بشود، اگر آن كافر است این‌هم كافر است، اگر آن مشرك است این‌هم مشرك است، اگر آن به محاربه و جنگ برخاسته، این‌هم به محاربه و جنگ برخاسته است.</w:t>
      </w:r>
    </w:p>
    <w:p>
      <w:pPr/>
      <w:r>
        <w:rPr>
          <w:rtl w:val="0"/>
          <w:lang w:val="fa-IR"/>
        </w:rPr>
        <w:t xml:space="preserve">این مسئله باید براى خود حضرت یونس هم روشن شود، این نفرینى كه تو كردى ما به این نفرین ترتیب‌اثر مى‏دهیم و عذاب را مى‏آوریم ولى آیا اگر تو نفرین نمى‏كردى هم قضیه به همین كیفیت باقى مى‏ماند؟! اگر تو صبر مى‏كردى و به تأخیر مى‏انداختى باز هم به همین كیفیت بود؟! چقدر این نفرینى كه تو كردى به ما مربوط است و چقدر به اذیت‏هایى كه به تو كردند مربوط است؟! مسئله دارد خیلى دقیق مى‏شود! این نفرینى كه تو كردى ما به آن ترتیب‌ثر مى‏دهیم و عذاب را هم مى‏آوریم. عذاب آمد و همه هم دیدند و جریانش را مى‏دانید. چقدر از این مسئله به ما مربوط است که چون مخالفت با تبلیغ كردند و چقدرش مربوط به اذیتى است كه به تو كردند؟! بالأخره اذیت مى‏كنند، آرام‏ كه نمى‏نشینند، مردمى كه ولد چموش هستند و هركدامشان یك بازى درمى‏آورند! پیغمبر صلّی الله علیه و آله و سلّم فرمود: «</w:t>
      </w:r>
      <w:r>
        <w:rPr>
          <w:rStyle w:val="RevayatArabi"/>
          <w:rtl w:val="0"/>
          <w:lang w:val="fa-IR"/>
        </w:rPr>
        <w:t xml:space="preserve">ما أوذیَ نَبیٌّ مِثلَ ما أوذیتُ</w:t>
      </w:r>
      <w:r>
        <w:rPr>
          <w:rtl w:val="0"/>
          <w:lang w:val="fa-IR"/>
        </w:rPr>
        <w:t xml:space="preserve">»</w:t>
      </w:r>
      <w:r>
        <w:rPr>
          <w:rStyle w:val="FootnoteReference"/>
        </w:rPr>
        <w:footnoteReference w:id="14"/>
      </w:r>
      <w:r>
        <w:rPr>
          <w:rtl w:val="0"/>
          <w:lang w:val="fa-IR"/>
        </w:rPr>
        <w:t xml:space="preserve"> اینها مردمى كه آرام نمى‏نشینند و هر روز یک [اذیتی] مى‏كنند، این اذیت‏ها چقدر در این نفرین تو مؤثر بوده است؟!</w:t>
      </w:r>
    </w:p>
    <w:p>
      <w:pPr/>
      <w:r>
        <w:rPr>
          <w:rtl w:val="0"/>
          <w:lang w:val="fa-IR"/>
        </w:rPr>
        <w:t xml:space="preserve">قضیه این است! بله، ممكن است بگوییم كه شصت درصد مربوط به خدا بوده و چهل درصد مربوط به اذیتى بوده كه به تو كردند. البته ما این حرف‏هایى را كه مى‏زنیم همین‏طورى داریم مى‏گوییم! [برای ما پیش بیاید] تا ده درصد هم جلو نمى‏آییم! حالا ما داریم براى حضرت یونس تكلیف تعیین مى‏كنیم و اینجا در مدرسۀ فیضیه نشسته‏ایم و خیلى خوب و راحت، الحمدلله جایمان هم خیلى خوب است و این‏طورى براى پیغمبرها داریم پرونده درست مى‏كنیم و تكلیفشان را تعیین مى‏كنیم! ولى مى‏گوییم که خدایا اگر برایمان هم پیش آوردى خودت دستمان را بگیر، خب دیگر غیر از این چاره‏اى برای این مسئله نداریم. ما به ده درصد قضیه [جلو نمى‏آییم]!</w:t>
      </w:r>
    </w:p>
    <w:p>
      <w:pPr/>
      <w:r>
        <w:rPr>
          <w:rtl/>
          <w:lang w:val="fa-IR"/>
        </w:rPr>
        <w:t xml:space="preserve">آن‏وقت اینجا شما ببینید این حكومتى كه به‌دست انبیاى الهى مى‏افتد آیا با آن حكومتى كه دست من و شما مى‏افتد، یكى خواهد بود؟! نظراتى كه در این مسائل إعمال مى‏شود و سلیقه‏هایى كه در این قضایا اعمال مى‏شود و حكم‏هایى كه در این زمینه از من و امثال من صادر مى‏شود، ریشه‏هایش در كجاها مى‏تواند قرار داشته باشد؟! همه رحمانى و توحیدى است یا یك‌خرده، دوخرده یا سه‌خرده هم ... بله دیگر! قضیه چیست؟ وقتى كه ما داریم مسئله‏ را به پاى اسلام مى‏گذاریم حواسمان هست كه اگر رسول الله صلّی الله علیه و آله و سلّم در اینجا بود چه مى‏كرد؟! اگر به پاى اسلام نگذاریم، راحتیم، اگر نگذاریم، به هرطوری به هر قِسم و کیفیتی [باشیم] راحت هستیم ولى حالا كه مى‏گذاریم مردم می‌خواهند به پاى اسلام نگاه ‏كنند، اگر بخواهند به پاى اسلام نگاه بکنند، پاى پیغمبر به این ‌وسط كشیده مى‏شود، پاى امیرالمؤمنین و پاى امام مجتبى و سیدالشهداء و امام رضا علیهم‌السّلام این ‌وسط كشیده مى‏شود! آن‌وقت اینجا دیگر آدم باید خیلى تنش بلرزد و نمى‏تواند به همین راحتی [بگذرد] و همین‏طور نسبت به مسائل حكومت و قضاء و مسائل فتوا تمام اینها را از یک دیدگاه دیگر [باید نگاه کند].</w:t>
      </w:r>
    </w:p>
    <w:p>
      <w:pPr/>
      <w:r>
        <w:rPr>
          <w:rtl/>
          <w:lang w:val="fa-IR"/>
        </w:rPr>
        <w:t xml:space="preserve">ببینید چقدر انسان مى‏تواند از این مبانى، از این آیات، از این قرآن و از این مسائل توحیدى استفاده كند. فقط یک قصه نخوانیم، داستان حضرت یونس و فلان و این چیزها دارد اتفاق می‌افتد و این مطالب براى انسان هم در طول زندگى پیش مى‏آید و فقط باید از خدا بخواهیم وقتى كه انسان مى‏خواهد عبور كند [خدا انسان را] درست عبور بدهد و با نمرۀ تجدید و رفوزه عبور نكند. حالا ممكن است که ما نمرۀ بیست نگیریم و نمى‏گیریم! چون هیچ‌وقت نمرۀ بیست براى ما نیست، نمرۀ بیست براى اولیاء است و براى ما نیست ولی دیگر شش و پنج و چهار و صفر هم نگیریم! بالأخره نمرۀ ده به بالایى، ده و یازدهى، همین‏قدر كه تجدید نشویم [خوب است]. نمى‏دانم الآن نمرۀ تجدید ده است كمتر است یا بیشتر است. آن‌وقت كه ما بودیم ده بود!</w:t>
      </w:r>
    </w:p>
    <w:p>
      <w:pPr/>
      <w:r>
        <w:rPr>
          <w:rtl w:val="0"/>
          <w:lang w:val="fa-IR"/>
        </w:rPr>
        <w:t xml:space="preserve">اینها چیزهایى است كه براى انسان معارف را مى‏آورد و زنده مى‏كند و حركت مى‏دهد. خدا نیامده در قرآن قصه بگوید، خدا با ما دارد صحبت مى‏كند و مى‏گوید که زندگى‌ات را باید این‏طورى كنى! اگر به راه كمال مى‏روى باید این كار را انجام بدهى و خودت را باید حضرت یونس فرض كنى! مخصوصاً براى اهل علم كه اینها در میان مردم به تبلیغ معروف و مشهورند یا قضیه بالاتر برود و به مسئولیت بالاترى برسد، اینجا چه كسى مى‏تواند مسئولیتى را قبول كند؟! همین‏طورى یك مسئولیتى را قبول كند و بگوید که بیا بابا یا على، مسئولیتى را بپذیر دیگر، آقا بار روى زمین افتاده بیا این بار را بردار. چه كسى گفته که تو بیایى بردارى؟! تو برو پى كارت بگذار یكى دیگر بیاید و بردارد.</w:t>
      </w:r>
    </w:p>
    <w:p>
      <w:pPr/>
      <w:r>
        <w:rPr>
          <w:rtl/>
          <w:lang w:val="fa-IR"/>
        </w:rPr>
        <w:t xml:space="preserve">یک نفر بیاید به بنده بگوید که آقاى فلان شما بیا فلان مسئله را بپذیر، من هم بگویم که بله، این مسئله روی زمین افتاده بیایم بردارم. نه‌خیر! تو برندار ببین چه مى‏شود؟! مگر دنیا صاحب ندارد؟ یک وقت امام زمانى در كار نیست خب می‌شود [این‌طور] گفت ولی صاحب دارد پس حساب‌وكتاب هست. آیا من در خودم مى‏بینم كه این بار را بردارم؟ بسیار خب بردارم، باید پاسخش را هم بدهم اما وقتى در خودم نمى‏بینم براى چه بیایم بردارم؟ روی زمین افتاده خب بیفتد مثل بارهایى كه روى زمین افتاده است این‌هم روی آن! خیلى بار روى زمین افتاده است اینها هم روى آن [بیفتد]. آیا تو در خودت این اختیار و استعداد را مى‏بینى یا نمى‏بینى؟ اگر می‌بینی برو بردار.</w:t>
      </w:r>
    </w:p>
    <w:p>
      <w:pPr/>
      <w:r>
        <w:rPr>
          <w:rtl w:val="0"/>
          <w:lang w:val="fa-IR"/>
        </w:rPr>
        <w:t xml:space="preserve">مرحوم آقا میرزا محمدتقى كسى بود كه مرحوم آقا مى‏فرمودند: ما مانند ایشان فرد بى‏هوا در بین افرادى كه مسئولیت پذیرفتند كم سراغ داریم! مرحوم میرزاى دوم ـ میرزاى اول كه خیلى مسئله‏اش چیز بود ـ در آن قضیۀ آمدنِ به نجف خودش را نشان داد كه آدم بى‏هوایى است. وقتى سید یزدى پیغام فرستاد كه شما با آمدنتان در اینجا شقّ عصاى مسلمین مى‏فرمایید. دست شما درد نكند! براى امام جماعت دعوتش كردند ایشان هم از كربلا بلند شده و آمده است حالا طرف این قسم از او استقبال مى‏كند! همین‌كه مى‏گوید: شما شقّ عصاى مسلمین كردید، همان‌جا سوار مى‏شود و به كربلا برمى‏گردد و صدایش را درنمى‏آورد! غروب مى‏شود مى‏بینند كه در صحن نیامد هرچه صبر مى‏كنند می‌بینند که نیامد، پس کجاست؟! اى بابا این ما را سر كار گذاشت! قرار شد که اینجا بیاید و نماز بخوانیم و افراد بیایند! بعد مى‏بینند كه نه آقا دارد در كربلا نمازش را مى‏خواند! خداحافظ شما، ما رفتیم.</w:t>
      </w:r>
    </w:p>
    <w:p>
      <w:pPr/>
      <w:r>
        <w:rPr>
          <w:rtl w:val="0"/>
          <w:lang w:val="fa-IR"/>
        </w:rPr>
        <w:t xml:space="preserve">به این مرد آدم بى‏هوا مى‏گویند والاّ مى‏توانست بماند و بگوید که بالأخره ما را دعوت كردید و آمدیم دیگر خودتان مى‏دانید، خودتان مشكل را حل كنید كه چه خواهد شد. چه بساطى [به‌پا کردند]! همه به نام اسلام، ای وای اسلام در خطر مى‏افتد، اگر یک كسى در صحن نماز نخواند اسلام به خطر مى‏افتد؟! البته بیضۀ اسلام در خطر مى‏افتد! داخل صحن كسى نماز بخواند اسلام در خطر مى‏افتد و شقّ عصاى مسلمین شده و نمى‏دانم چه به‌پا شده است. صاف برگشت رفت، خداحافظ! اگر قرار است با یک نماز خواندن ما اسلام به خطر بیفتد و مضمحل بشود و تدمیر بشود ما به كربلا برگشتیم و سر خانه و زندگى خودمان و همان‌جایى كه بودیم. این نجف و این حوزه و این صحن و سراى امیرالمؤمنین علیه‌السّلام هم براى شما، بفرمایید نماز مغرب بخوانید و نماز عشاء بخوانید و نافله‏اش را هم بخوانید، اصلاً نماز شبتان را هم بیایید اینجا بخوانید، اذكارى اگر دارید ـ خب آنها که ذکر نمی‌گفتند ـ بخوانید، زیارت عاشورا هم بخوانید، اصلاً دعاى ندبه هم بخوانید، صحن و همۀ این چیزها براى شما!!</w:t>
      </w:r>
    </w:p>
    <w:p>
      <w:pPr/>
      <w:r>
        <w:rPr>
          <w:rtl w:val="0"/>
          <w:lang w:val="fa-IR"/>
        </w:rPr>
        <w:t xml:space="preserve">یا مثل میرزاى شیرازى وقتى كه دید دارد از حاج میرزا حبیب‌الله رشتى حرف‏هایى مى‏شنود، بنده خدا مریض هم بود، گفتند که باید جایى بروید، گفت که تمام، خداحافظ شما! بى‌سروصدا به سامرا براى معالجه و براى مداوا مى‏رویم. بیمار و مریض بودند به آنجا مى‏رود و بعد مى‏گوید که خب حالا همین‏جا هوا بد نیست و ببینیم چه مى‏شود و یك بحثى هم همین‏جا شروع مى‏كنیم، دونفری و سه‌نفری و خلاصه مشغول مى‏شود.</w:t>
      </w:r>
    </w:p>
    <w:p>
      <w:pPr/>
      <w:r>
        <w:rPr>
          <w:rtl w:val="0"/>
          <w:lang w:val="fa-IR"/>
        </w:rPr>
        <w:t xml:space="preserve">خلق الله هم در نجف مى‏بینند كه این نیامد، این که گفت خوب شد بابا این چه مرضى بود گرفت؟! دو ماه، سه ماه، چهار ماه، بعد می‌آیند مى‏بینند كه سُر و مُر و گُنده سر جایش نشسته، حرم مى‏رود در صحن می‌آید، چیز می‌کند! مى‏گویند که میرزا نجف [نمی‌آیی]؟! می‌گوید که دیدم حالم بهتر است و مى‏ترسم دوباره مریض بشوم!! پیشگیرى هم كه لازم است، پیشگیرى بهتر از درمان است! می‌گفت که مى‏ترسیم دوباره مریض شویم و بهتر است كه همین‏جا بمانیم و همین‌جا باشیم. اینها مردان خدا بودند! مى‏گوید که اگر قرار است بودن ما در اینجا موجب شود كه عرصه بر شما تنگ شود، این نجف و حوزه براى شما، ما سامرا مى‏رویم و همان‏جا هستیم، دورترین نقطه تا نجف، نجف کجا؟ جنوب! سامرا کجا؟ شمال! دورترین نقطه می‌رود و همان‏جا هم‏ مى‏ماند.</w:t>
      </w:r>
    </w:p>
    <w:p>
      <w:pPr/>
      <w:r>
        <w:rPr>
          <w:rtl w:val="0"/>
          <w:lang w:val="fa-IR"/>
        </w:rPr>
        <w:t xml:space="preserve">الآن هردو رفتند. هم میرزا محمدتقى رفت و هم آن سید یزدى رفت. هم میرزاى شیرازى رفت هم میرزا حبیب‌الله رفت اما الآن آن‌طرف چه خبر است؟! الآن چه كسى در آن‏طرف جلوتر است و چه كسى عقب‏تر است؟! چه كسى باید حساب پس بدهد؟! بالأخره اینها حساب‌وكتاب دارد. انسان بیاید و این چیزها را بگوید و... بله!</w:t>
      </w:r>
    </w:p>
    <w:p>
      <w:pPr/>
      <w:r>
        <w:rPr>
          <w:rtl w:val="0"/>
          <w:lang w:val="fa-IR"/>
        </w:rPr>
        <w:t xml:space="preserve">یك وقتی یک هم‌چنین جریانى هم براى بعضى‏ها اتفاق افتاده بود كه مى‏خواست احساس مسئولیت كند. آقا مسئولیت چیست؟! اینها همه حساب دارد!</w:t>
      </w:r>
    </w:p>
    <w:p>
      <w:pPr/>
      <w:r>
        <w:rPr>
          <w:rtl w:val="0"/>
          <w:lang w:val="fa-IR"/>
        </w:rPr>
        <w:t xml:space="preserve">وقتی که میرزا محمد تقی به آقا سید احمد کربلایی [حواله داد] خب آقا میرزا محمدتقى هم مى‏داند به چه كسى حواله بدهد نه به هر كسى، او مى‏فهمد آن كسى كه مى‏تواند فقط سید احمد است و او مى‏تواند از عهدۀ این مسئله بربیاید. وقتی که به سید احمد حواله داد سید احمد جواب مى‏دهد كه ما به این چیزها كار نداریم و به میرزا بگو كه در روز قیامت با ما طرف است! خیال نكند كه اینجا هر كارى مى‏خواهد بكند و هر حرفى مى‏خواهد بزند، آنجا حكومت با ماست و دامن او را جلوى جدّم خواهم گرفت و نسبت به این قضیه تهدید مى‏كند و شوخی نمى‏كند! خب اینها چه برداشتى داشتند؟ من در همان </w:t>
      </w:r>
      <w:r>
        <w:rPr>
          <w:rtl w:val="0"/>
          <w:lang w:val="fa-IR"/>
        </w:rPr>
        <w:t xml:space="preserve">رسالۀ اجتهاد و تقلید</w:t>
      </w:r>
      <w:r>
        <w:rPr>
          <w:rtl w:val="0"/>
          <w:lang w:val="fa-IR"/>
        </w:rPr>
        <w:t xml:space="preserve"> گفته‏ام كه اینها چه برداشتى از مسئله داشتند. بى‏سواد نبودند! اینهایى كه فعلاً هستند از نظر سواد، انگشت كوچك آنها هم به‌حساب نمى‏آیند! بى‏سواد نیستند، چه برداشتى داشتند كه آن برداشت را ما نداریم؟ آنها چه تفكرى داشتند كه این‏طور برخورد مى‏كردند؟! آنها غم و غصۀ اسلام را نداشتند؟! آنها بى‏غم بودند؟! آنها بى‏خیال بودند؟! آنها احساس مسئولیت نمى‏كردند؟! ما فقط احساس مسئولیت مى‏كنیم؟! آیا این مسئله فقط در ما درآمده است؟! یعنى آنها احساس مسئولیت نمى‏كردند، آنها غصۀ اسلام را نداشتند؟! آنها غصۀ مسلمین را نداشتند؟! آنها غصۀ مكلفین را نداشتند؟! آنها غصۀ مقلدین را نداشتند؟! آنها احساس نمى‏كردند كه چیزى روى زمین [مانده است] که حالا میرزا تقى شیرازى فوت مى‏كند خب این بار روى زمین مى‏افتد، احساس مسئولیت بكنیم و ما آن را برداریم؟! یعنى آنها هم‌چنین احساسى نمى‏كردند و هم‌چنین فهمى نداشتند! یااینكه نه فهمشان هم خیلى بالاتر از ما بود! اگر از نقطه‌نظر مسائل ظاهرى و عادى است که استعدادشان خیلى بالاتر و حافظه‏شان بالاتر و اطلاعشان بالاتر از ما بوده است و اگر از نقطه‌نظر مسائل تقوا باشد كه اصلاً ما اطلاع و خبر نداریم. آنها چه تفكرى داشتند كه این‏طور برخورد مى‏كردند و آن تفكر را ما نداریم؟! به این قضیه‌ برسیم!</w:t>
      </w:r>
    </w:p>
    <w:p>
      <w:pPr/>
      <w:r>
        <w:rPr>
          <w:rtl w:val="0"/>
          <w:lang w:val="fa-IR"/>
        </w:rPr>
        <w:t xml:space="preserve">آقا سید احمد كربلایى ـ رضوان ‌الله‌ تعالی‌ علیه ـ آدم عادى كه نبود! مرحوم قاضى ـ رضوان ‌الله‌ تعالی‌ علیه ـ كه آدم عادى نبود! وقتى براى مرجعیت پیش او آمدند مى‏گفت که شما بروید از دیگران تقلید كنید این‌همه هستند. بعد وقتى كه رساله خواستند ایشان فرمودند: بنده رساله ندارم. مرحوم قاضى كسى بود كه در حوزه‏هاى نجف وقتى كه وارد مى‏شد تمام علماء «</w:t>
      </w:r>
      <w:r>
        <w:rPr>
          <w:rStyle w:val="RevayatArabi"/>
          <w:rtl w:val="0"/>
          <w:lang w:val="fa-IR"/>
        </w:rPr>
        <w:t xml:space="preserve">کأنّ علَی رؤوسِهمُ الطّیر</w:t>
      </w:r>
      <w:r>
        <w:rPr>
          <w:rtl w:val="0"/>
          <w:lang w:val="fa-IR"/>
        </w:rPr>
        <w:t xml:space="preserve">»</w:t>
      </w:r>
      <w:r>
        <w:rPr>
          <w:rStyle w:val="FootnoteReference"/>
        </w:rPr>
        <w:footnoteReference w:id="15"/>
      </w:r>
      <w:r>
        <w:rPr>
          <w:rtl w:val="0"/>
          <w:lang w:val="fa-IR"/>
        </w:rPr>
        <w:t xml:space="preserve"> همین‏طور ساكت مى‏شدند! ایشان آدم بى‏سوادى نبود! وقتى كه وارد در یك مجلس فاتحه مى‏شد یا وقتى كه وارد یك مسجدى مى‏شد که اعاظم نجف و مراجع بودند همۀ اینها ساكت مى‏شدند و كسى اصلاً به احترام ایشان حرف نمى‏زد! چه تفكرى در اینها هست كه این تفكر در ما نیست؟! مشكل كجاست؟! ایراد كجاست؟! ایراد همین است كه اینها به مطلب رسیده‏اند و ما نرسیده‏ایم، اینها به آن مسئولیت و به آن تعهد و به آن التزام رسیدند اما ما نرسیده‌ایم هرطوری که شد و به هر كیفیتى شد آقا بیا تنور گرم است و نان را بچسبان، كجاى كارى اما او نه! این‌طور نیست. مى‏گوید که تنور گرم است كه گرم است به من چه مربوط است؟ تنور، تنور من نیست. من چرا نان بچسبانم؟! براى یكى دیگر است به من چه ربطى دارد.</w:t>
      </w:r>
    </w:p>
    <w:p>
      <w:pPr>
        <w:pStyle w:val="Heading6"/>
      </w:pPr>
      <w:r>
        <w:rPr>
          <w:rtl w:val="0"/>
          <w:lang w:val="fa-IR"/>
        </w:rPr>
        <w:t xml:space="preserve">منظور خدا از داستان‌ها و حکایت‌های قرآن</w:t>
      </w:r>
    </w:p>
    <w:p>
      <w:pPr/>
      <w:r>
        <w:rPr>
          <w:rtl w:val="0"/>
          <w:lang w:val="fa-IR"/>
        </w:rPr>
        <w:t xml:space="preserve">اینها همه مسائلى است كه‏ براى انسان عبرت مى‏آورد. این بزرگان و این پیامبران الهى كه آمدند و آیات قرآن که نازل شده باید به حساب برسیم و فکر کنیم و در این آیات تأمل كنیم و آنهایى كه توانستند تا حدودى از اسرار آیات سر دربیاورند برویم ببینیم چه گفته‏اند؟ در تفاسیرشان در كتبشان چه چیزی ذکر كردند؟ داستان حضرت یوسف برای چیست؟ خدا بیاید هم‌چنین قضیۀ به این طول و درازى را در سورۀ یوسف براى ما بیان كند یعنی چه؟! یک جریانى بود و حضرت یوسف گفت: </w:t>
      </w:r>
      <w:r>
        <w:rPr>
          <w:rtl w:val="0"/>
          <w:lang w:val="fa-IR"/>
        </w:rPr>
        <w:t xml:space="preserve">﴿إِنِّي رَأَيۡتُ أَحَدَ عَشَرَ كَوۡكَبٗا﴾</w:t>
      </w:r>
      <w:r>
        <w:rPr>
          <w:rStyle w:val="FootnoteReference"/>
        </w:rPr>
        <w:footnoteReference w:id="16"/>
      </w:r>
      <w:r>
        <w:rPr>
          <w:rtl w:val="0"/>
          <w:lang w:val="fa-IR"/>
        </w:rPr>
        <w:t xml:space="preserve"> و بعد هم بزرگ مى‏شود </w:t>
      </w:r>
      <w:r>
        <w:rPr>
          <w:rtl w:val="0"/>
          <w:lang w:val="fa-IR"/>
        </w:rPr>
        <w:t xml:space="preserve">﴿وَرَٰوَدَتۡهُ ٱلَّتِي هُوَ فِي بَيۡتِهَا عَن نَّفۡسِهِۦ وَغَلَّقَتِ ٱلۡأَبۡوَٰبَ﴾</w:t>
      </w:r>
      <w:r>
        <w:rPr>
          <w:rStyle w:val="FootnoteReference"/>
        </w:rPr>
        <w:footnoteReference w:id="17"/>
      </w:r>
      <w:r>
        <w:rPr>
          <w:rtl w:val="0"/>
          <w:lang w:val="fa-IR"/>
        </w:rPr>
        <w:t xml:space="preserve"> خیلی خب خودمان می‌گوییم که اینها چیز مهمى نیست. بعد هم كه قضیۀ سجن و بعد هم رسیدن به آن مسائل پیغمبرى و... خدا از این قضیه و از این حكایت و داستان‏نویسى‏ چه منظورى دارد و چه مى‏خواهد به ما بگوید؟! مى‏خواهد همین را بگوید که اگر مى‏خواهى در این دنیا باشى مثل داستان یوسف براى تو هم پیش خواهد آمد، مثل یونس هم براى تو پیش خواهد آمد، مثل نوح هم پیش خواهد آمد، همۀ اینها براى تو پیدا خواهد شد منتها در حد خودت و در همان رتبه‏اى كه خودت داری!</w:t>
      </w:r>
    </w:p>
    <w:p>
      <w:pPr/>
      <w:r>
        <w:rPr>
          <w:rtl w:val="0"/>
          <w:lang w:val="fa-IR"/>
        </w:rPr>
        <w:t xml:space="preserve">إن‌شاءالله خدا دست ما را بگیرد و فهم ما را نسبت به این مبانى و نسبت به این مطالب باز كند و در هرجا و در هر قدمى، ما را خودش با موفقیت عبور بدهد.</w:t>
      </w:r>
    </w:p>
    <w:p>
      <w:pPr>
        <w:pStyle w:val="SoalMatn"/>
      </w:pPr>
      <w:r>
        <w:rPr>
          <w:rtl w:val="0"/>
          <w:lang w:val="fa-IR"/>
        </w:rPr>
        <w:t xml:space="preserve">تلمیذ:</w:t>
      </w:r>
      <w:r>
        <w:rPr>
          <w:rtl w:val="0"/>
          <w:lang w:val="fa-IR"/>
        </w:rPr>
        <w:t xml:space="preserve"> این آیۀ </w:t>
      </w:r>
      <w:r>
        <w:rPr>
          <w:rtl w:val="0"/>
          <w:lang w:val="fa-IR"/>
        </w:rPr>
        <w:t xml:space="preserve">﴿فَظَنَّ أَن لَّن نَّقۡدِرَ عَلَيۡه﴾</w:t>
      </w:r>
      <w:r>
        <w:rPr>
          <w:rtl w:val="0"/>
          <w:lang w:val="fa-IR"/>
        </w:rPr>
        <w:t xml:space="preserve"> به‌خاطر این نیست که یک موضوع خلاف [در مرتبۀ سلوک رخ داده است و ] آن جریان چهل روز برایش پیش آمد؟</w:t>
      </w:r>
    </w:p>
    <w:p>
      <w:pPr>
        <w:pStyle w:val="Heading6"/>
      </w:pPr>
      <w:r>
        <w:rPr>
          <w:rtl w:val="0"/>
          <w:lang w:val="fa-IR"/>
        </w:rPr>
        <w:t xml:space="preserve">علت حبس حضرت یونس؛ سیر سلوكى او در كیفیت نزول اسماء و صفات و رؤیت مشیّت خدا</w:t>
      </w:r>
    </w:p>
    <w:p>
      <w:pPr/>
      <w:r>
        <w:rPr>
          <w:rtl w:val="0"/>
          <w:lang w:val="fa-IR"/>
        </w:rPr>
        <w:t xml:space="preserve">استاد</w:t>
      </w:r>
      <w:r>
        <w:rPr>
          <w:rtl w:val="0"/>
          <w:lang w:val="fa-IR"/>
        </w:rPr>
        <w:t xml:space="preserve">: بله، مسئله همان سیر سلوكى حضرت یونس در كیفیت نزول اسماء و صفات و كیفیت رؤیت مشیّت خدا هست. حضرت یونس ـ </w:t>
      </w:r>
      <w:r>
        <w:rPr>
          <w:rStyle w:val="Arabi"/>
          <w:rtl w:val="0"/>
          <w:lang w:val="fa-IR"/>
        </w:rPr>
        <w:t xml:space="preserve">هو الله العالم</w:t>
      </w:r>
      <w:r>
        <w:rPr>
          <w:rtl w:val="0"/>
          <w:lang w:val="fa-IR"/>
        </w:rPr>
        <w:t xml:space="preserve">؛ خدا خودش در این مسئله بهتر مى‏داند ـ بر این تصور بود حالا كه این یك ولىّ خداست و حالا كه این پیامبر خداست و حالا كه این از طرف خدا مأمور به ابلاغ است پس دیگر مطلب به همین‌جا تمام شد و دیگر اراده، ارادۀ‏ اوست و چون مى‏بیند قوا در تحت اختیار اوست؛ قواى باد، خاك، زمین، زلزله، طوفان، ابر و صاعقه همه در تحت اراده و قدرت اوست و وقتى كه مى‏بیند اینها مخالفت كردند، این افراد را خارج از مرتبۀ عبودیت تلقى مى‏كند یعنى مى‏گوید که اینها از تحت عبودیت درآمدند و حالا كه درآمدند پس دیگر از چشم خدا افتادند و حالا كه از چشم خدا افتادند بنابراین براى چه زنده باشند؟! پس جاى نفرین همین‏جاست. وقتى كسى از تحت عبودیت خارج شود، از تحت آن رقیّت خارج شود، از تحت انقیاد خارج شود و بیرون بیاید دیگر وجودش </w:t>
      </w:r>
      <w:r>
        <w:rPr>
          <w:rStyle w:val="Arabi"/>
          <w:rtl w:val="0"/>
          <w:lang w:val="fa-IR"/>
        </w:rPr>
        <w:t xml:space="preserve">کأن لم یَکن</w:t>
      </w:r>
      <w:r>
        <w:rPr>
          <w:rtl w:val="0"/>
          <w:lang w:val="fa-IR"/>
        </w:rPr>
        <w:t xml:space="preserve"> است و وقتى كه وجودش کالعدم بود انسان براى عدم نفرین مى‏كند كه ازبین برود.</w:t>
      </w:r>
    </w:p>
    <w:p>
      <w:pPr>
        <w:pStyle w:val="Heading6"/>
      </w:pPr>
      <w:r>
        <w:rPr>
          <w:rtl w:val="0"/>
          <w:lang w:val="fa-IR"/>
        </w:rPr>
        <w:t xml:space="preserve">عدم انقطاع عبودیت از مخلوقات در حین مخالفت</w:t>
      </w:r>
    </w:p>
    <w:p>
      <w:pPr/>
      <w:r>
        <w:rPr>
          <w:rtl w:val="0"/>
          <w:lang w:val="fa-IR"/>
        </w:rPr>
        <w:t xml:space="preserve">دیگر از این مسئله غافل بود وقتى كه یک موجودى وجود پیدا كرد، مُهر عبودیت و ارتباط با آن مبدأ اعلىٰ و ربّ الارباب تا آخر به او زده شد! گرچه الآن مخالفت مى‏كند ولی الآن در حین عبودیت و در حین ربط مخالفت مى‏كند. این مسئله‏اى كه این دیگر كنار گذاشته شد را نداریم، تو در اینجا خیال كردى كه كنار گذاشته شد اما نه، این كنار گذاشته نشده است. این عبدِ گناهكار و عبدِ عاصم و عبدِ مذنب است نه‌اینكه دیگر عبد نیست و تبدیل به حجر شد و تبدیل به چه شد و به‌طور‌كلى كنار رفت. این عبد است منتها عبد متجرّى و عبد جسور است، این عبد، عبد كافر و مشرك است. وقتى این‏طور باشد پس نفرینى كه مى‏خواهد بكند ممكن است نفرین جایش را عوض كند و نفرین نكند. همین‏طور این چیزها را تحمل كند و این مسئله را درنظر نیاورد یا موقع نفرین فرق كند و به یک حدى برسد كه در آن حدى كه رسید خود خطاب بیاید كه نفرین كن، یعنى اگر هم نفرین هست از جانب اوست نه از جانب این! یعنى همان‏طورى‌كه تبلیغ از جانب اوست آن نفرین و این استدعاى عذاب هم از طرف او مى‏آید، از طرف خدا مى‏آید. خدا مى‏گوید که تو عذاب را طلب كن. آن‏وقت اگر از طرف او بیاید دیگر چهل روز در شكم ماهى ماندن را ندارد، دیگر آن </w:t>
      </w:r>
      <w:r>
        <w:rPr>
          <w:rtl w:val="0"/>
          <w:lang w:val="fa-IR"/>
        </w:rPr>
        <w:t xml:space="preserve">﴿وَذَا ٱلنُّونِ إِذ ذَّهَبَ مُغَٰضِبٗا﴾</w:t>
      </w:r>
      <w:r>
        <w:rPr>
          <w:rStyle w:val="FootnoteReference"/>
        </w:rPr>
        <w:footnoteReference w:id="18"/>
      </w:r>
      <w:r>
        <w:rPr>
          <w:rtl w:val="0"/>
          <w:lang w:val="fa-IR"/>
        </w:rPr>
        <w:t xml:space="preserve"> را ندارد. این حرف‏ها را ندارد چون از طرف اوست، همان‏طورى‌كه خطاب مى‏آید كه ابلاغ این را بكن همان‏طور خطاب مى‏آید كه فردا این مطلب را تقاضا كن. قضیه سیّان مى‏شود، بود و نبود یكى مى‏شود، تبلیغ و عدم تبلیغ یكى مى‏شود، هدایت و عدم هدایت یكى مى‏شود، </w:t>
      </w:r>
      <w:r>
        <w:rPr>
          <w:rStyle w:val="Arabi"/>
          <w:rtl w:val="0"/>
          <w:lang w:val="fa-IR"/>
        </w:rPr>
        <w:t xml:space="preserve">وَ لِلأمرُ کُلهُ مُستندٌ إلیه </w:t>
      </w:r>
      <w:r>
        <w:rPr>
          <w:rtl w:val="0"/>
          <w:lang w:val="fa-IR"/>
        </w:rPr>
        <w:t xml:space="preserve">یکی مى‏شود.</w:t>
      </w:r>
    </w:p>
    <w:p>
      <w:pPr/>
      <w:r>
        <w:rPr>
          <w:rtl w:val="0"/>
          <w:lang w:val="fa-IR"/>
        </w:rPr>
        <w:t xml:space="preserve">نمى‏دانم تمام این چیزى كه مربوط به </w:t>
      </w:r>
      <w:r>
        <w:rPr>
          <w:rtl w:val="0"/>
          <w:lang w:val="fa-IR"/>
        </w:rPr>
        <w:t xml:space="preserve">﴿طه * مَآ أَنزَلۡنَا عَلَيۡكَ ٱلۡقُرۡءَانَ لِتَشۡقَىٰٓ * إِلَّا تَذۡكِرَةٗ لِّمَن يَخۡشَىٰ﴾</w:t>
      </w:r>
      <w:r>
        <w:rPr>
          <w:rStyle w:val="FootnoteReference"/>
        </w:rPr>
        <w:footnoteReference w:id="19"/>
      </w:r>
      <w:r>
        <w:rPr>
          <w:rtl w:val="0"/>
          <w:lang w:val="fa-IR"/>
        </w:rPr>
        <w:t xml:space="preserve"> این مسئله ظاهر مى‏شود كه دیگر همه چیز به‌‌دست اوست و او بخواهد، </w:t>
      </w:r>
      <w:r>
        <w:rPr>
          <w:rtl w:val="0"/>
          <w:lang w:val="fa-IR"/>
        </w:rPr>
        <w:t xml:space="preserve">﴿إِنَّكَ لَا تَهۡدِي مَنۡ أَحۡبَبۡتَ وَلَٰكِنَّ ٱللَهَ يَهۡدِي مَن يَشَآءُ﴾</w:t>
      </w:r>
      <w:r>
        <w:rPr>
          <w:rStyle w:val="FootnoteReference"/>
        </w:rPr>
        <w:footnoteReference w:id="20"/>
      </w:r>
      <w:r>
        <w:rPr>
          <w:rtl w:val="0"/>
          <w:lang w:val="fa-IR"/>
        </w:rPr>
        <w:t xml:space="preserve"> اینجا ظهور پیدا مى‏كند. ببینید اینها همه مظاهر خدا هست و تا انسان بخواهد به این ظهور برسد كار دارد و باید دورانى را طى كند. براى حضرت یونس طى كردن این به این كیفیت بود و ایشان برنامه را به این كیفیت انجام دادند.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[جلسات فلسفه و فقه را] دو روز دو روزش کنیم.</w:t>
      </w:r>
    </w:p>
    <w:p>
      <w:pPr>
        <w:pStyle w:val="FootnoteText"/>
      </w:pPr>
      <w:r>
        <w:rPr>
          <w:rtl w:val="0"/>
          <w:lang w:val="fa-IR"/>
        </w:rPr>
        <w:t xml:space="preserve">استاد</w:t>
      </w:r>
      <w:r>
        <w:rPr>
          <w:rtl w:val="0"/>
          <w:lang w:val="fa-IR"/>
        </w:rPr>
        <w:t xml:space="preserve">: یعنی مثلاً دو روز فلسفه و دو روز فقه باشد؟ این‌طوری می‌شود و یک روز در میان هم می‌شود! البته خب دو روز پشت‌سرهم باشد بهتر است چون انس با مطلب بیشتر است و آدم بهتر مطلب دستش است ولی درهرصورت ما خواستیم در این مدت دو درس باشد و بینش فاصله باشد دیدیم نشد! مخصوصاً اینکه گاهی اوقات احساس می‌کنم که نمی‌شود و ادامه دادن صحبت مشکل است. لهذا شاید این طرح بدی نباشد که مثلاً شنبه و یکشنبه را به فقه می‌پردازیم و سه‌شنبه و چهارشنبه را به فلسفه می‌پردازیم.</w:t>
      </w:r>
    </w:p>
    <w:p>
      <w:pPr>
        <w:pStyle w:val="FootnoteText"/>
      </w:pPr>
      <w:r>
        <w:rPr>
          <w:rtl w:val="0"/>
          <w:lang w:val="fa-IR"/>
        </w:rPr>
        <w:t xml:space="preserve">چون خودم احساس می‌کنم که روش ما روش صحیحی نیست. خدا مرحوم آقا ـ رضوان الله تعالی علیه ـ را رحمت کند ایشان چند بار به من تأکید داشتند که مباحثۀ فقه را تا آخر عمرت داشته باش و نفرمودند که چه باشد، هرچه شد یک بحث فقهی مثلاً </w:t>
      </w:r>
      <w:r>
        <w:rPr>
          <w:rtl w:val="0"/>
          <w:lang w:val="fa-IR"/>
        </w:rPr>
        <w:t xml:space="preserve">لمعه </w:t>
      </w:r>
      <w:r>
        <w:rPr>
          <w:rtl w:val="0"/>
          <w:lang w:val="fa-IR"/>
        </w:rPr>
        <w:t xml:space="preserve">یا </w:t>
      </w:r>
      <w:r>
        <w:rPr>
          <w:rtl w:val="0"/>
          <w:lang w:val="fa-IR"/>
        </w:rPr>
        <w:t xml:space="preserve">شرایع </w:t>
      </w:r>
      <w:r>
        <w:rPr>
          <w:rtl w:val="0"/>
          <w:lang w:val="fa-IR"/>
        </w:rPr>
        <w:t xml:space="preserve">هرچه شد.</w:t>
      </w:r>
    </w:p>
    <w:p>
      <w:pPr>
        <w:pStyle w:val="FootnoteText"/>
      </w:pPr>
      <w:r>
        <w:rPr>
          <w:rtl w:val="0"/>
          <w:lang w:val="fa-IR"/>
        </w:rPr>
        <w:t xml:space="preserve">و خودم یک هم‌چنین احساسی را می‌کنم که در نبود فقه انگار یک خلأ‌ای دارم اما اصول این‌طور نیست اصول که همه‌اش بافتنی است!! آنچه که از ائمه علیهم‌السّلام رسیده است همان فقه است حالا ما خودمان برمی‌داریم کم و زیاد و بالا و پایین می‌کنیم حرف دیگری است! ولی خود [مباحث] فلسفه هم بالأخره اینها مطالب الهی و نورانی است. مطالبی است که با توحید و صفات و آثار وجود کار دارد این‌هم جای خودش را دارد و انسان نمی‌تواند از این مسائل صرف‌نظر کند و اثرات مهمی در تفکر انسان دارد. پس إن‌شاءالله ما دیگر به همین نحوه ادامه می‌دهیم تا چهارشنبه همین فلسفه را می‌خوانیم و از جلسۀ بعد دو روز اول به فقه و دو روز بعد را به فلسفه می‌پردازیم تا ببینیم که با این تدبیر آیا مشکل حل می‌شود یا نه.</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باب هشتم، حکمت 65.</w:t>
      </w:r>
    </w:p>
  </w:footnote>
  <w:footnote w:id="3">
    <w:p>
      <w:pPr>
        <w:pStyle w:val="FootnoteText"/>
      </w:pPr>
      <w:r>
        <w:rPr>
          <w:rtl w:val="0"/>
          <w:lang w:val="fa-IR"/>
        </w:rPr>
        <w:footnoteRef/>
      </w:r>
      <w:r>
        <w:rPr>
          <w:rtl w:val="0"/>
          <w:lang w:val="fa-IR"/>
        </w:rPr>
        <w:t xml:space="preserve">. سوره نازعات (79) آیه 5.</w:t>
      </w:r>
      <w:r>
        <w:rPr>
          <w:rtl w:val="0"/>
          <w:lang w:val="fa-IR"/>
        </w:rPr>
        <w:t xml:space="preserve"> امام ‌شناسی</w:t>
      </w:r>
      <w:r>
        <w:rPr>
          <w:rtl w:val="0"/>
          <w:lang w:val="fa-IR"/>
        </w:rPr>
        <w:t xml:space="preserve">، ج 5، ص 147:</w:t>
      </w:r>
    </w:p>
    <w:p>
      <w:pPr>
        <w:pStyle w:val="FootnoteText"/>
      </w:pPr>
      <w:r>
        <w:rPr>
          <w:rtl w:val="0"/>
          <w:lang w:val="fa-IR"/>
        </w:rPr>
        <w:t xml:space="preserve">«سوگند به فرشتگانى كه تدبیر امور مى‏كنند.»</w:t>
      </w:r>
    </w:p>
  </w:footnote>
  <w:footnote w:id="4">
    <w:p>
      <w:pPr>
        <w:pStyle w:val="FootnoteText"/>
      </w:pPr>
      <w:r>
        <w:rPr>
          <w:rtl w:val="0"/>
          <w:lang w:val="fa-IR"/>
        </w:rPr>
        <w:footnoteRef/>
      </w:r>
      <w:r>
        <w:rPr>
          <w:rtl w:val="0"/>
          <w:lang w:val="fa-IR"/>
        </w:rPr>
        <w:t xml:space="preserve">. سوره بقره (2) آیه 106. </w:t>
      </w:r>
      <w:r>
        <w:rPr>
          <w:rtl w:val="0"/>
          <w:lang w:val="fa-IR"/>
        </w:rPr>
        <w:t xml:space="preserve">مهر تابان</w:t>
      </w:r>
      <w:r>
        <w:rPr>
          <w:rtl w:val="0"/>
          <w:lang w:val="fa-IR"/>
        </w:rPr>
        <w:t xml:space="preserve">، ص 396:</w:t>
      </w:r>
    </w:p>
    <w:p>
      <w:pPr>
        <w:pStyle w:val="FootnoteText"/>
      </w:pPr>
      <w:r>
        <w:rPr>
          <w:rtl w:val="0"/>
          <w:lang w:val="fa-IR"/>
        </w:rPr>
        <w:t xml:space="preserve">«ما هر آیه‏اى را كه نسخ كنیم و برداریم و یا به فراموشى اندازیم، مثل آن را یا بهتر از آن را مى‏آوریم.‏»</w:t>
      </w:r>
    </w:p>
  </w:footnote>
  <w:footnote w:id="5">
    <w:p>
      <w:pPr>
        <w:pStyle w:val="FootnoteText"/>
      </w:pPr>
      <w:r>
        <w:rPr>
          <w:rtl w:val="0"/>
          <w:lang w:val="fa-IR"/>
        </w:rPr>
        <w:footnoteRef/>
      </w:r>
      <w:r>
        <w:rPr>
          <w:rtl w:val="0"/>
          <w:lang w:val="fa-IR"/>
        </w:rPr>
        <w:t xml:space="preserve">. سوره أنبیاء (21) آیه 87. </w:t>
      </w:r>
      <w:r>
        <w:rPr>
          <w:rtl w:val="0"/>
          <w:lang w:val="fa-IR"/>
        </w:rPr>
        <w:t xml:space="preserve">مطلع انوار</w:t>
      </w:r>
      <w:r>
        <w:rPr>
          <w:rtl w:val="0"/>
          <w:lang w:val="fa-IR"/>
        </w:rPr>
        <w:t xml:space="preserve">، ج 12، ص 97:</w:t>
      </w:r>
    </w:p>
    <w:p>
      <w:pPr>
        <w:pStyle w:val="FootnoteText"/>
      </w:pPr>
      <w:r>
        <w:rPr>
          <w:rtl w:val="0"/>
          <w:lang w:val="fa-IR"/>
        </w:rPr>
        <w:t xml:space="preserve">«داستان همنشین ماهى را بیاد آور كه با حالت غضب و خشم از قوم خود جدا شد و از آنها فاصله گرفت و چنین گمان نمود كه ما بر او سلطه و استیلاء نخواهیم یافت.‏»</w:t>
      </w:r>
    </w:p>
  </w:footnote>
  <w:footnote w:id="6">
    <w:p>
      <w:pPr>
        <w:pStyle w:val="FootnoteText"/>
      </w:pPr>
      <w:r>
        <w:rPr>
          <w:rtl w:val="0"/>
          <w:lang w:val="fa-IR"/>
        </w:rPr>
        <w:footnoteRef/>
      </w:r>
      <w:r>
        <w:rPr>
          <w:rtl w:val="0"/>
          <w:lang w:val="fa-IR"/>
        </w:rPr>
        <w:t xml:space="preserve">. سوره أنفال (8) آیه 33. </w:t>
      </w:r>
      <w:r>
        <w:rPr>
          <w:rtl w:val="0"/>
          <w:lang w:val="fa-IR"/>
        </w:rPr>
        <w:t xml:space="preserve">معادشناسی</w:t>
      </w:r>
      <w:r>
        <w:rPr>
          <w:rtl w:val="0"/>
          <w:lang w:val="fa-IR"/>
        </w:rPr>
        <w:t xml:space="preserve">، ج 2، ص 8:</w:t>
      </w:r>
    </w:p>
    <w:p>
      <w:pPr>
        <w:pStyle w:val="FootnoteText"/>
      </w:pPr>
      <w:r>
        <w:rPr>
          <w:rtl w:val="0"/>
          <w:lang w:val="fa-IR"/>
        </w:rPr>
        <w:t xml:space="preserve">«اى پیغمبر! تا هنگامى كه تو در میان این مردم هستى خداوند آنها را البته دستخوش عذاب نمى‏كند، و همچنین تا وقتى‏كه آنان استغفار را شعار خود قرار دهند، خداوند عذاب كننده آنها نخواهد بود.»</w:t>
      </w:r>
    </w:p>
  </w:footnote>
  <w:footnote w:id="7">
    <w:p>
      <w:pPr>
        <w:pStyle w:val="FootnoteText"/>
      </w:pPr>
      <w:r>
        <w:rPr>
          <w:rtl w:val="0"/>
          <w:lang w:val="fa-IR"/>
        </w:rPr>
        <w:footnoteRef/>
      </w:r>
      <w:r>
        <w:rPr>
          <w:rtl w:val="0"/>
          <w:lang w:val="fa-IR"/>
        </w:rPr>
        <w:t xml:space="preserve">. سوره عنکبوت (29) آیه 33.</w:t>
      </w:r>
    </w:p>
    <w:p>
      <w:pPr>
        <w:pStyle w:val="FootnoteText"/>
      </w:pPr>
      <w:r>
        <w:rPr>
          <w:rtl w:val="0"/>
          <w:lang w:val="fa-IR"/>
        </w:rPr>
        <w:t xml:space="preserve">ترجمه: «غیر آن زن کافرت.» (محقق)</w:t>
      </w:r>
    </w:p>
  </w:footnote>
  <w:footnote w:id="8">
    <w:p>
      <w:pPr>
        <w:pStyle w:val="FootnoteText"/>
      </w:pPr>
      <w:r>
        <w:rPr>
          <w:rtl w:val="0"/>
          <w:lang w:val="fa-IR"/>
        </w:rPr>
        <w:footnoteRef/>
      </w:r>
      <w:r>
        <w:rPr>
          <w:rtl w:val="0"/>
          <w:lang w:val="fa-IR"/>
        </w:rPr>
        <w:t xml:space="preserve">. سوره أنبیاء (21) آیه 87. </w:t>
      </w:r>
      <w:r>
        <w:rPr>
          <w:rtl w:val="0"/>
          <w:lang w:val="fa-IR"/>
        </w:rPr>
        <w:t xml:space="preserve">مطلع انوار،</w:t>
      </w:r>
      <w:r>
        <w:rPr>
          <w:rtl w:val="0"/>
          <w:lang w:val="fa-IR"/>
        </w:rPr>
        <w:t xml:space="preserve"> ج 12، ص 97:</w:t>
      </w:r>
    </w:p>
    <w:p>
      <w:pPr>
        <w:pStyle w:val="FootnoteText"/>
      </w:pPr>
      <w:r>
        <w:rPr>
          <w:rtl w:val="0"/>
          <w:lang w:val="fa-IR"/>
        </w:rPr>
        <w:t xml:space="preserve">«پس چنین گمان نمود كه ما بر او سلطه و استیلاء نخواهیم یافت.»</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المیزان</w:t>
      </w:r>
      <w:r>
        <w:rPr>
          <w:rtl w:val="0"/>
          <w:lang w:val="fa-IR"/>
        </w:rPr>
        <w:t xml:space="preserve">، ج 14، ص 314 و 315:</w:t>
      </w:r>
    </w:p>
    <w:p>
      <w:pPr>
        <w:pStyle w:val="FootnoteText"/>
      </w:pPr>
      <w:r>
        <w:rPr>
          <w:rStyle w:val="Arabi"/>
          <w:rtl w:val="0"/>
          <w:lang w:val="fa-IR"/>
        </w:rPr>
        <w:t xml:space="preserve">«و قوله:</w:t>
      </w:r>
      <w:r>
        <w:rPr>
          <w:rtl w:val="0"/>
          <w:lang w:val="fa-IR"/>
        </w:rPr>
        <w:t xml:space="preserve"> </w:t>
      </w:r>
      <w:r>
        <w:rPr>
          <w:rtl w:val="0"/>
          <w:lang w:val="fa-IR"/>
        </w:rPr>
        <w:t xml:space="preserve">﴿وَذَا ٱلنُّونِ إِذ ذَّهَبَ مُغَٰضِبٗا فَظَنَّ أَن لَّن نَّقۡدِرَ عَلَيۡهِ﴾</w:t>
      </w:r>
      <w:r>
        <w:rPr>
          <w:rtl w:val="0"/>
          <w:lang w:val="fa-IR"/>
        </w:rPr>
        <w:t xml:space="preserve"> </w:t>
      </w:r>
      <w:r>
        <w:rPr>
          <w:rStyle w:val="Arabi"/>
          <w:rtl w:val="0"/>
          <w:lang w:val="fa-IR"/>
        </w:rPr>
        <w:t xml:space="preserve">أی واذکر ذا النون إذ ذَهَبَ مغاضباً أی لقومِه حیث لم یُؤمنوا به فَظَنَّ أن لن نَقدر علیه أی لن نضیق علیه من قدر علیه رزقه أی ضاقَ کما قیل. و یُمکن أن یکونَ قوله: </w:t>
      </w:r>
      <w:r>
        <w:rPr>
          <w:rtl w:val="0"/>
          <w:lang w:val="fa-IR"/>
        </w:rPr>
        <w:t xml:space="preserve">﴿إِذ ذَّهَبَ مُغَٰضِبٗا فَظَنَّ أَن لَّن نَّقۡدِرَ عَلَيۡهِ﴾</w:t>
      </w:r>
      <w:r>
        <w:rPr>
          <w:rtl w:val="0"/>
          <w:lang w:val="fa-IR"/>
        </w:rPr>
        <w:t xml:space="preserve"> </w:t>
      </w:r>
      <w:r>
        <w:rPr>
          <w:rStyle w:val="Arabi"/>
          <w:rtl w:val="0"/>
          <w:lang w:val="fa-IR"/>
        </w:rPr>
        <w:t xml:space="preserve">وارداً مورد التمثیل أی کان ذهابه هذا و مفارقة قومه ذهاب من کان مغاضبا لمولاه و هو یظن أنَّ مولاه لَن یَقدر علیه و هو یفوته بالابتعاد منه فلا یقوى على سیاستِه و أما کونه علیه‌السّلام مغاضباً لربِه حقیقة و ظنه أن الله لا یقدر علیه جداً فمما یجل ساحة الأنبیاء الکرام عن ذلک قطعاً و هم معصومون بعصمة الله.»</w:t>
      </w:r>
    </w:p>
  </w:footnote>
  <w:footnote w:id="10">
    <w:p>
      <w:pPr>
        <w:pStyle w:val="FootnoteText"/>
      </w:pPr>
      <w:r>
        <w:rPr>
          <w:rtl w:val="0"/>
          <w:lang w:val="fa-IR"/>
        </w:rPr>
        <w:footnoteRef/>
      </w:r>
      <w:r>
        <w:rPr>
          <w:rtl w:val="0"/>
          <w:lang w:val="fa-IR"/>
        </w:rPr>
        <w:t xml:space="preserve">. سوره أنبیاء (21) آیه 87 و 88. </w:t>
      </w:r>
      <w:r>
        <w:rPr>
          <w:rtl w:val="0"/>
          <w:lang w:val="fa-IR"/>
        </w:rPr>
        <w:t xml:space="preserve">مطلع انوار</w:t>
      </w:r>
      <w:r>
        <w:rPr>
          <w:rtl w:val="0"/>
          <w:lang w:val="fa-IR"/>
        </w:rPr>
        <w:t xml:space="preserve">، ج 12، ص 97 و</w:t>
      </w:r>
      <w:r>
        <w:rPr>
          <w:rtl w:val="0"/>
          <w:lang w:val="fa-IR"/>
        </w:rPr>
        <w:t xml:space="preserve"> اربعین در فرهنگ شیعه</w:t>
      </w:r>
      <w:r>
        <w:rPr>
          <w:rtl w:val="0"/>
          <w:lang w:val="fa-IR"/>
        </w:rPr>
        <w:t xml:space="preserve">، ص 41:</w:t>
      </w:r>
    </w:p>
    <w:p>
      <w:pPr>
        <w:pStyle w:val="FootnoteText"/>
      </w:pPr>
      <w:r>
        <w:rPr>
          <w:rtl w:val="0"/>
          <w:lang w:val="fa-IR"/>
        </w:rPr>
        <w:t xml:space="preserve">«(و آنگاه كه در شكم ماهى در ظلمات جاى گرفت) ندا برآورد كه: هیچ معبودى و صاحب اثر و سببى جز خداى أحد و واحد نمى‏باشد. منزّه مى‏باشى اى پروردگار از حدس و گمان ما، به درستى كه من از ستمكارانم (و به واسطه جهل و نادانى بر خود ظلم و ستم مى‏نمایم) پس آنگاه ما او را بیامرزیدیم و دعاى او را اجابت نمودیم و او را از غم و كدورت و تألّم عالم اعتبار، رها ساختیم و به عالم حقایق و واقعیت توحید وارد نمودیم، و سرّ این حقیقت را به او نمایاندیم؛ و این‏چنین مؤمنین را نجات و رستگارى مى‏بخشیم.»</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إعلام الوری</w:t>
      </w:r>
      <w:r>
        <w:rPr>
          <w:rtl w:val="0"/>
          <w:lang w:val="fa-IR"/>
        </w:rPr>
        <w:t xml:space="preserve">، ص ٨٣؛ </w:t>
      </w:r>
      <w:r>
        <w:rPr>
          <w:rtl w:val="0"/>
          <w:lang w:val="fa-IR"/>
        </w:rPr>
        <w:t xml:space="preserve">عیون الأثر</w:t>
      </w:r>
      <w:r>
        <w:rPr>
          <w:rtl w:val="0"/>
          <w:lang w:val="fa-IR"/>
        </w:rPr>
        <w:t xml:space="preserve">، ج ٢، ص ٣٩٨؛ </w:t>
      </w:r>
      <w:r>
        <w:rPr>
          <w:rtl w:val="0"/>
          <w:lang w:val="fa-IR"/>
        </w:rPr>
        <w:t xml:space="preserve">سفینة البحار</w:t>
      </w:r>
      <w:r>
        <w:rPr>
          <w:rtl w:val="0"/>
          <w:lang w:val="fa-IR"/>
        </w:rPr>
        <w:t xml:space="preserve">، ج ٢، ص ٦٨١؛ </w:t>
      </w:r>
      <w:r>
        <w:rPr>
          <w:rtl w:val="0"/>
          <w:lang w:val="fa-IR"/>
        </w:rPr>
        <w:t xml:space="preserve">عنوان بصری</w:t>
      </w:r>
      <w:r>
        <w:rPr>
          <w:rtl w:val="0"/>
          <w:lang w:val="fa-IR"/>
        </w:rPr>
        <w:t xml:space="preserve"> ج ۲، ص 160.</w:t>
      </w:r>
    </w:p>
  </w:footnote>
  <w:footnote w:id="12">
    <w:p>
      <w:pPr>
        <w:pStyle w:val="FootnoteText"/>
      </w:pPr>
      <w:r>
        <w:rPr>
          <w:rStyle w:val="FootnoteReference"/>
        </w:rPr>
        <w:footnoteRef/>
      </w:r>
      <w:r>
        <w:t xml:space="preserve"> </w:t>
      </w:r>
      <w:r>
        <w:rPr>
          <w:rtl w:val="0"/>
          <w:lang w:val="fa-IR"/>
        </w:rPr>
        <w:t xml:space="preserve">. سوره نوح (٧١) آیه ٢٦:</w:t>
      </w:r>
    </w:p>
    <w:p>
      <w:pPr>
        <w:pStyle w:val="FootnoteText"/>
      </w:pPr>
      <w:r>
        <w:rPr>
          <w:rtl w:val="0"/>
          <w:lang w:val="fa-IR"/>
        </w:rPr>
        <w:t xml:space="preserve">﴿وَقَالَ نُوحٞ رَّبِّ لَا تَذَرۡ عَلَى ٱلۡأَرۡضِ مِنَ ٱلۡكَٰفِرِينَ دَيَّارًا﴾</w:t>
      </w:r>
      <w:r>
        <w:rPr>
          <w:rtl w:val="0"/>
          <w:lang w:val="fa-IR"/>
        </w:rPr>
        <w:t xml:space="preserve">. </w:t>
      </w:r>
      <w:r>
        <w:rPr>
          <w:rtl w:val="0"/>
          <w:lang w:val="fa-IR"/>
        </w:rPr>
        <w:t xml:space="preserve">سیری در تاریخ پیامبر اکرم </w:t>
      </w:r>
      <w:r>
        <w:rPr>
          <w:rtl w:val="0"/>
          <w:lang w:val="fa-IR"/>
        </w:rPr>
        <w:t xml:space="preserve">صلّی اللَه و علیه و آله و سلّم، ج ۱، ص 422:</w:t>
      </w:r>
    </w:p>
    <w:p>
      <w:pPr>
        <w:pStyle w:val="FootnoteText"/>
      </w:pPr>
      <w:r>
        <w:rPr>
          <w:rtl w:val="0"/>
          <w:lang w:val="fa-IR"/>
        </w:rPr>
        <w:t xml:space="preserve">«و نوح گفت: پروردگارا، دیّار و زنده‌ای از کافرین را در روی زمین باقی نگذار!»</w:t>
      </w:r>
    </w:p>
  </w:footnote>
  <w:footnote w:id="13">
    <w:p>
      <w:pPr>
        <w:pStyle w:val="FootnoteText"/>
      </w:pPr>
      <w:r>
        <w:rPr>
          <w:rStyle w:val="FootnoteReference"/>
        </w:rPr>
        <w:footnoteRef/>
      </w:r>
      <w:r>
        <w:t xml:space="preserve"> </w:t>
      </w:r>
      <w:r>
        <w:rPr>
          <w:rtl w:val="0"/>
          <w:lang w:val="fa-IR"/>
        </w:rPr>
        <w:t xml:space="preserve">. سوره عنکبوت (29) آیه 30:</w:t>
      </w:r>
    </w:p>
    <w:p>
      <w:pPr>
        <w:pStyle w:val="FootnoteText"/>
      </w:pPr>
      <w:r>
        <w:rPr>
          <w:rtl w:val="0"/>
          <w:lang w:val="fa-IR"/>
        </w:rPr>
        <w:t xml:space="preserve">﴿قَالَ رَبِّ ٱنصُرۡنِي عَلَى ٱلۡقَوۡمِ ٱلۡمُفۡسِدِينَ﴾</w:t>
      </w:r>
      <w:r>
        <w:rPr>
          <w:rtl w:val="0"/>
          <w:lang w:val="fa-IR"/>
        </w:rPr>
        <w:t xml:space="preserve">.</w:t>
      </w:r>
    </w:p>
    <w:p>
      <w:pPr>
        <w:pStyle w:val="FootnoteText"/>
      </w:pPr>
      <w:r>
        <w:rPr>
          <w:rtl w:val="0"/>
          <w:lang w:val="fa-IR"/>
        </w:rPr>
        <w:t xml:space="preserve">ترجمه: «لوط گفت: پروردگارا مرا بر مردم فساد انگیز نصرت بده.» (محقق)</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 </w:t>
      </w:r>
      <w:r>
        <w:rPr>
          <w:rtl w:val="0"/>
          <w:lang w:val="fa-IR"/>
        </w:rPr>
        <w:t xml:space="preserve">علیهم السّلام</w:t>
      </w:r>
      <w:r>
        <w:rPr>
          <w:rtl w:val="0"/>
          <w:lang w:val="fa-IR"/>
        </w:rPr>
        <w:t xml:space="preserve">، </w:t>
      </w:r>
      <w:r>
        <w:rPr>
          <w:rtl w:val="0"/>
          <w:lang w:val="fa-IR"/>
        </w:rPr>
        <w:t xml:space="preserve">ج ٣، ص ٢٤٧؛ </w:t>
      </w:r>
      <w:r>
        <w:rPr>
          <w:rtl w:val="0"/>
          <w:lang w:val="fa-IR"/>
        </w:rPr>
        <w:t xml:space="preserve">سیری در تاریخ پیامبر اکرم </w:t>
      </w:r>
      <w:r>
        <w:rPr>
          <w:rtl w:val="0"/>
          <w:lang w:val="fa-IR"/>
        </w:rPr>
        <w:t xml:space="preserve">صلّی اللَه و علیه و آله و سلّم</w:t>
      </w:r>
      <w:r>
        <w:rPr>
          <w:rtl w:val="0"/>
          <w:lang w:val="fa-IR"/>
        </w:rPr>
        <w:t xml:space="preserve">،</w:t>
      </w:r>
      <w:r>
        <w:rPr>
          <w:rtl w:val="0"/>
          <w:lang w:val="fa-IR"/>
        </w:rPr>
        <w:t xml:space="preserve"> ج ۱، ص 253.</w:t>
      </w:r>
    </w:p>
  </w:footnote>
  <w:footnote w:id="15">
    <w:p>
      <w:pPr>
        <w:pStyle w:val="FootnoteText"/>
      </w:pPr>
      <w:r>
        <w:rPr>
          <w:rStyle w:val="FootnoteReference"/>
        </w:rPr>
        <w:footnoteRef/>
      </w:r>
      <w:r>
        <w:t xml:space="preserve"> </w:t>
      </w:r>
      <w:r>
        <w:rPr>
          <w:rtl w:val="0"/>
          <w:lang w:val="fa-IR"/>
        </w:rPr>
        <w:t xml:space="preserve">. ضرب‌المثل عربی؛ </w:t>
      </w:r>
      <w:r>
        <w:rPr>
          <w:rtl w:val="0"/>
          <w:lang w:val="fa-IR"/>
        </w:rPr>
        <w:t xml:space="preserve">کتاب الأمثال</w:t>
      </w:r>
      <w:r>
        <w:rPr>
          <w:rtl w:val="0"/>
          <w:lang w:val="fa-IR"/>
        </w:rPr>
        <w:t xml:space="preserve">، هاشمی، ص ١٩٦؛ </w:t>
      </w:r>
      <w:r>
        <w:rPr>
          <w:rtl w:val="0"/>
          <w:lang w:val="fa-IR"/>
        </w:rPr>
        <w:t xml:space="preserve">عنوان بصری،</w:t>
      </w:r>
      <w:r>
        <w:rPr>
          <w:rtl w:val="0"/>
          <w:lang w:val="fa-IR"/>
        </w:rPr>
        <w:t xml:space="preserve"> ج 4، ص 169.</w:t>
      </w:r>
    </w:p>
  </w:footnote>
  <w:footnote w:id="16">
    <w:p>
      <w:pPr>
        <w:pStyle w:val="FootnoteText"/>
      </w:pPr>
      <w:r>
        <w:rPr>
          <w:rtl w:val="0"/>
          <w:lang w:val="fa-IR"/>
        </w:rPr>
        <w:footnoteRef/>
      </w:r>
      <w:r>
        <w:rPr>
          <w:rtl w:val="0"/>
          <w:lang w:val="fa-IR"/>
        </w:rPr>
        <w:t xml:space="preserve">. سوره یوسف (12) آیه 4.</w:t>
      </w:r>
    </w:p>
    <w:p>
      <w:pPr>
        <w:pStyle w:val="FootnoteText"/>
      </w:pPr>
      <w:r>
        <w:rPr>
          <w:rtl w:val="0"/>
          <w:lang w:val="fa-IR"/>
        </w:rPr>
        <w:t xml:space="preserve">ترجمه: «در عالم رؤیا دیدم كه یازده ستاره و ...» (محقق)</w:t>
      </w:r>
    </w:p>
  </w:footnote>
  <w:footnote w:id="17">
    <w:p>
      <w:pPr>
        <w:pStyle w:val="FootnoteText"/>
      </w:pPr>
      <w:r>
        <w:rPr>
          <w:rtl w:val="0"/>
          <w:lang w:val="fa-IR"/>
        </w:rPr>
        <w:footnoteRef/>
      </w:r>
      <w:r>
        <w:rPr>
          <w:rtl w:val="0"/>
          <w:lang w:val="fa-IR"/>
        </w:rPr>
        <w:t xml:space="preserve">. سوره یوسف (12) آیه 23.</w:t>
      </w:r>
    </w:p>
    <w:p>
      <w:pPr>
        <w:pStyle w:val="FootnoteText"/>
      </w:pPr>
      <w:r>
        <w:rPr>
          <w:rtl w:val="0"/>
          <w:lang w:val="fa-IR"/>
        </w:rPr>
        <w:t xml:space="preserve">ترجمه: «و بانوی خانه به میل نفس خود با او بنای مراوده گذاشت و (روزی) درها را بست و یوسف را به خود دعوت کرد.» (محقق)</w:t>
      </w:r>
    </w:p>
  </w:footnote>
  <w:footnote w:id="18">
    <w:p>
      <w:pPr>
        <w:pStyle w:val="FootnoteText"/>
      </w:pPr>
      <w:r>
        <w:rPr>
          <w:rtl w:val="0"/>
          <w:lang w:val="fa-IR"/>
        </w:rPr>
        <w:footnoteRef/>
      </w:r>
      <w:r>
        <w:rPr>
          <w:rtl w:val="0"/>
          <w:lang w:val="fa-IR"/>
        </w:rPr>
        <w:t xml:space="preserve">. سوره انبیاء (21) آیه 87.</w:t>
      </w:r>
      <w:r>
        <w:rPr>
          <w:rtl w:val="0"/>
          <w:lang w:val="fa-IR"/>
        </w:rPr>
        <w:t xml:space="preserve"> مطلع انوار</w:t>
      </w:r>
      <w:r>
        <w:rPr>
          <w:rtl w:val="0"/>
          <w:lang w:val="fa-IR"/>
        </w:rPr>
        <w:t xml:space="preserve">، ج ‏12، ص 97:</w:t>
      </w:r>
    </w:p>
    <w:p>
      <w:pPr>
        <w:pStyle w:val="FootnoteText"/>
      </w:pPr>
      <w:r>
        <w:rPr>
          <w:rtl w:val="0"/>
          <w:lang w:val="fa-IR"/>
        </w:rPr>
        <w:t xml:space="preserve">«داستان همنشین ماهى را بیاد آور كه با حالت غضب و خشم از قوم خود جدا شد و از آنها فاصله گرفت.‏»</w:t>
      </w:r>
    </w:p>
  </w:footnote>
  <w:footnote w:id="19">
    <w:p>
      <w:pPr>
        <w:pStyle w:val="FootnoteText"/>
      </w:pPr>
      <w:r>
        <w:rPr>
          <w:rtl w:val="0"/>
          <w:lang w:val="fa-IR"/>
        </w:rPr>
        <w:footnoteRef/>
      </w:r>
      <w:r>
        <w:rPr>
          <w:rtl w:val="0"/>
          <w:lang w:val="fa-IR"/>
        </w:rPr>
        <w:t xml:space="preserve">. سوره طه (20) آیه 2 و 3. </w:t>
      </w:r>
      <w:r>
        <w:rPr>
          <w:rtl w:val="0"/>
          <w:lang w:val="fa-IR"/>
        </w:rPr>
        <w:t xml:space="preserve">رساله مودت</w:t>
      </w:r>
      <w:r>
        <w:rPr>
          <w:rtl w:val="0"/>
          <w:lang w:val="fa-IR"/>
        </w:rPr>
        <w:t xml:space="preserve">، ص 78:</w:t>
      </w:r>
    </w:p>
    <w:p>
      <w:pPr>
        <w:pStyle w:val="FootnoteText"/>
      </w:pPr>
      <w:r>
        <w:rPr>
          <w:rtl w:val="0"/>
          <w:lang w:val="fa-IR"/>
        </w:rPr>
        <w:t xml:space="preserve">«طه، ما قرآن را بر تو نفرستادیم كه به زحمت وسختى مبتلى شوى، بلكه قرآن تذكّردهنده است براى هركس كه خاشع گردد.»</w:t>
      </w:r>
    </w:p>
  </w:footnote>
  <w:footnote w:id="20">
    <w:p>
      <w:pPr>
        <w:pStyle w:val="FootnoteText"/>
      </w:pPr>
      <w:r>
        <w:rPr>
          <w:rtl w:val="0"/>
          <w:lang w:val="fa-IR"/>
        </w:rPr>
        <w:footnoteRef/>
      </w:r>
      <w:r>
        <w:rPr>
          <w:rtl w:val="0"/>
          <w:lang w:val="fa-IR"/>
        </w:rPr>
        <w:t xml:space="preserve">. سوره قصص (28) آیه 56. </w:t>
      </w:r>
      <w:r>
        <w:rPr>
          <w:rtl w:val="0"/>
          <w:lang w:val="fa-IR"/>
        </w:rPr>
        <w:t xml:space="preserve">نور ملکوت قرآن</w:t>
      </w:r>
      <w:r>
        <w:rPr>
          <w:rtl w:val="0"/>
          <w:lang w:val="fa-IR"/>
        </w:rPr>
        <w:t xml:space="preserve">، ج 4، ص 313:</w:t>
      </w:r>
    </w:p>
    <w:p>
      <w:pPr>
        <w:pStyle w:val="FootnoteText"/>
      </w:pPr>
      <w:r>
        <w:rPr>
          <w:rtl w:val="0"/>
          <w:lang w:val="fa-IR"/>
        </w:rPr>
        <w:t xml:space="preserve">«تو قدرت ندارى كسى را كه دلت بخواهد هدایت كنى؛ ولیكن خداوند است كه هدایت مى‏كند كسى را كه بخواهد.»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