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Farsi++"/>
      </w:pPr>
      <w:r>
        <w:rPr>
          <w:rtl w:val="0"/>
          <w:lang w:val="fa-IR"/>
        </w:rPr>
        <w:t xml:space="preserve">هو العلیم</w:t>
      </w:r>
    </w:p>
    <w:p>
      <w:pPr>
        <w:pStyle w:val="VasatChinFarsi++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توسل به امام زمان علیه السلام و حقیقت انتظار فرج</w:t>
      </w:r>
    </w:p>
    <w:p>
      <w:pPr>
        <w:pStyle w:val="VasatChinFarsi++"/>
      </w:pPr>
      <w:r>
        <w:rPr>
          <w:rtl w:val="0"/>
          <w:lang w:val="fa-IR"/>
        </w:rPr>
        <w:t xml:space="preserve"> </w:t>
      </w:r>
    </w:p>
    <w:p>
      <w:pPr>
        <w:pStyle w:val="VasatChinFarsi++"/>
      </w:pPr>
      <w:r>
        <w:rPr>
          <w:rtl w:val="0"/>
          <w:lang w:val="fa-IR"/>
        </w:rPr>
        <w:t xml:space="preserve">حضرت علامه آیت اللَه حاج سید محمد حسین حسینی طهرانی</w:t>
      </w:r>
    </w:p>
    <w:p>
      <w:pPr>
        <w:pStyle w:val="VasatChinFarsi++"/>
      </w:pPr>
      <w:r>
        <w:rPr>
          <w:rtl w:val="0"/>
          <w:lang w:val="fa-IR"/>
        </w:rPr>
        <w:t xml:space="preserve"> </w:t>
      </w:r>
    </w:p>
    <w:p>
      <w:pPr>
        <w:pStyle w:val="VasatChinFarsi++"/>
      </w:pPr>
      <w:r>
        <w:rPr>
          <w:rtl w:val="0"/>
          <w:lang w:val="fa-IR"/>
        </w:rPr>
        <w:t xml:space="preserve">امام شناسی، جلد 5</w:t>
      </w:r>
    </w:p>
    <w:p>
      <w:pPr/>
      <w:r>
        <w:br w:type="page"/>
      </w:r>
    </w:p>
    <w:p>
      <w:pPr>
        <w:pStyle w:val="VasatChinArabi++"/>
      </w:pPr>
      <w:r>
        <w:rPr>
          <w:rtl w:val="0"/>
          <w:lang w:val="fa-IR"/>
        </w:rPr>
        <w:t xml:space="preserve">  بسم اللَه الرحمن الرحیم</w:t>
      </w:r>
    </w:p>
    <w:p>
      <w:pPr/>
      <w:r>
        <w:rPr>
          <w:rtl w:val="0"/>
          <w:lang w:val="fa-IR"/>
        </w:rPr>
        <w:t xml:space="preserve"> مقاله پیش رو گزیده ایست از فرمایشات حضرت علامه آیت اللَه حاج سید محمد حسین حسینی طهرانی در کتاب امام شناسی در ارتباط با توسل به امام زمان علیه السلام و حقیقت انتظار فرج</w:t>
      </w:r>
    </w:p>
    <w:p>
      <w:pPr>
        <w:pStyle w:val="Heading2"/>
      </w:pPr>
      <w:r>
        <w:rPr>
          <w:rtl w:val="0"/>
          <w:lang w:val="fa-IR"/>
        </w:rPr>
        <w:t xml:space="preserve">لزوم توسل به امام علیه السلام به منظور رفع حجاب های ظاهری و باطنی</w:t>
      </w:r>
    </w:p>
    <w:p>
      <w:pPr/>
      <w:r>
        <w:rPr>
          <w:rtl w:val="0"/>
          <w:lang w:val="fa-IR"/>
        </w:rPr>
        <w:t xml:space="preserve">مجالس‌ و محافل‌ توسّل‌ به‌ حضرت‌ وليّ عصر بسيار خوب‌ است‌؛ ولی توسّلی که‌ مطلوب‌ و منظور از آن‌ حقّ باشد؛ وصول‌ به‌ حقّ باشد؛ رفع‌ حجب‌ ظلمانی و نورانی باشد؛ کشف‌ حقيقت‌ ولايت‌ و توحيد باشد؛ حصول‌ عرفان‌ إلهی و فناء در ذات‌ اقدس‌ او باشد. اين‌ مطلوب‌ و پسنديده‌ است‌. و لذا انتظار فرج‌ که‌ حتّی در زمان‌ خود أئمّه‌ عليهم‌ السّلام‌ از بزرگترين‌ و با فضيلت‌ترين‌ اعمال‌ محسوب‌ میشده‌ است‌. همين‌ بوده‌ است‌.</w:t>
      </w:r>
    </w:p>
    <w:p>
      <w:pPr/>
      <w:r>
        <w:rPr>
          <w:rtl w:val="0"/>
          <w:lang w:val="fa-IR"/>
        </w:rPr>
        <w:t xml:space="preserve">توسّل‌ به‌ حقيقت‌ ولايت‌ آن‌ حضرت‌ برای کشف‌ حجاب‌ های طريق‌، از افضل‌ اعمال‌ است‌؛ زيرا توحيد حقّ از افضل‌ اعمال‌ است‌. و انتظار ظهور خارجی آن‌ حضرت‌ نيز بواسطۀ مقدّميّت‌ بر ظهور باطنی و کشف‌ ولايت‌ آن‌ حضرت‌ همچنين‌ مفيد است‌؛ و انتظار ظهور خارجی بر اين‌ اصل‌ محبوب‌ و پسنديده‌ است‌.</w:t>
      </w:r>
    </w:p>
    <w:p>
      <w:pPr/>
      <w:r>
        <w:rPr>
          <w:rtl w:val="0"/>
          <w:lang w:val="fa-IR"/>
        </w:rPr>
        <w:t xml:space="preserve">و امّا چنانچه‌ فقط‌ دنبال‌ ظهور خارجی باشيم‌، بدون‌ منظور و محتوای از آن‌ حقيقت‌؛ در اين‌ صورت‌ آن‌ حضرت‌ را به‌ ثَمَنِ بَخْسی فروخته‌ايم‌؛ و در نتيجه‌ خود ضرر بسياری ديده‌ايم‌؛ زيرا مراد و مقصود، تشرّف‌ به‌ حضور طبيعی نيست‌؛ و گرنه‌ بسياری از افراد مردم‌ در زمان‌ حضور امامان‌ به‌ حضورشان‌ میرسيده‌اند؛ و با آنها تکلّم‌ و گفتگو داشته‌اند؛ ولی از حقيقتشان‌ بیبهره‌ بوده‌اند. اگر ما در مجالس‌ توسّل‌، و يا در خلوت‌ به‌ اشتياق‌ لقای او بوده‌ باشيم‌؛ و خداوند ما را هم‌ نصيب‌ فرمايد، اگر در دلمان‌ منظور و مقصود، لقای خدا و حقيقت‌ ولايت‌ نباشد، در اين‌ صورت‌ به‌ همان‌ نحوی به‌ خدمتش‌ مشرّف‌ میگرديم‌ که‌ مردم‌ در زمان‌ حضور امامان‌ به‌ خدمتشان‌ مشرّف‌ میشده‌اند؛ و اين‌ غَبنی است‌ و ضرری است‌ بزرگ‌ که‌ با جِدّ و جَهد و با کدَ و سعی ما به‌ محضرش‌ شرفياب‌ شويم‌، و مقصدی والاتر و بالاتر از ديدار ظاهری نداشته‌ باشيم‌ ـ که‌ در حقيقت‌ اين‌ ديدار برای رفع‌ شک‌ و شبهه‌ از وجود آن‌ حضرت‌ و طول‌ عمر است‌ ـ يا آن‌ حضرت‌ را برای حوائج‌ مادّيّه‌ و يا رفع‌ گرفتاريهای شخصی و يا عمومی استخدام‌ کنيم‌؛ اين‌ امری است‌ که‌ بدون‌ زحمت‌ توسّل‌ برای همۀ افراد زمان‌ حضور امامان‌ عليهم‌ السّلام‌ حاصل‌ بوده‌ است‌.</w:t>
      </w:r>
    </w:p>
    <w:p>
      <w:pPr>
        <w:pStyle w:val="NormalA++"/>
      </w:pPr>
      <w:r>
        <w:rPr>
          <w:rtl w:val="0"/>
          <w:lang w:val="fa-IR"/>
        </w:rPr>
        <w:t xml:space="preserve">ولی آنچه‌ حقّا ذی قيمت‌ است‌، تشرّف‌ به‌ حقيقت‌ و وصول‌ به‌ واقعيّت‌ آنحضرت‌ است‌. اشتياق‌ به‌ ديدار و لقای اوست‌ از جهت‌ آيتيّت‌ حضرت‌ حقّ سبحانه‌ و تعالی؛ اين‌ مهمّ است‌؛ و اين‌ از افضل‌ اعمال‌ است‌؛ و چنين‌ انتظار فرجی زنده‌ کنندۀ دل‌ها و راحت‌ بخش‌ روان‌ ها است‌ ؛ </w:t>
      </w:r>
      <w:r>
        <w:rPr>
          <w:rtl w:val="0"/>
          <w:lang w:val="fa-IR"/>
        </w:rPr>
        <w:t xml:space="preserve">رَزَقَنَا اللَه وَ ايَاکمْ إنشَاَاللَه بِمُحَمَّدٍ وَآلِهِ الطَّاهِرِينَ.</w:t>
      </w:r>
    </w:p>
    <w:p>
      <w:pPr/>
      <w:r>
        <w:rPr>
          <w:rtl w:val="0"/>
          <w:lang w:val="fa-IR"/>
        </w:rPr>
        <w:t xml:space="preserve">دانستن‌ زمان‌ ظهور خارجی برای ما چه‌ قيميتی دارد ؟ و لذا در اخبار از تفحُّص‌ و تجسّس‌ در اين‌ گونه‌ امور نهی شده‌ است‌.</w:t>
      </w:r>
    </w:p>
    <w:p>
      <w:pPr/>
      <w:r>
        <w:rPr>
          <w:rtl w:val="0"/>
          <w:lang w:val="fa-IR"/>
        </w:rPr>
        <w:t xml:space="preserve"> </w:t>
      </w:r>
    </w:p>
    <w:p>
      <w:pPr>
        <w:pStyle w:val="Heading2"/>
      </w:pPr>
      <w:r>
        <w:rPr>
          <w:rtl w:val="0"/>
          <w:lang w:val="fa-IR"/>
        </w:rPr>
        <w:t xml:space="preserve">هدف از ظهور تهذیب نفس می باشد</w:t>
      </w:r>
    </w:p>
    <w:p>
      <w:pPr/>
      <w:r>
        <w:rPr>
          <w:rtl w:val="0"/>
          <w:lang w:val="fa-IR"/>
        </w:rPr>
        <w:t xml:space="preserve">شما فرض‌ کنيد: ما با علم‌ جَفْر و رَمْل‌ صحيح‌ به‌ دست‌ آورديم‌ که‌ ظهور آن‌ حضرت‌ در يک‌ سال‌ و دو ماه‌ و سه‌ روز ديگر خواهد بود. در اين‌ صورت‌ چه‌ میکنيم‌ ؟ وظيفۀ ما چيست‌ ؟ وظيفۀ ما تهذيب‌ و تزکيه‌ و آماده‌ کردن‌ نفس‌ امارّه‌ است‌ برای قبول‌ و فداکاری و ايثار.</w:t>
      </w:r>
    </w:p>
    <w:p>
      <w:pPr/>
      <w:r>
        <w:rPr>
          <w:rtl w:val="0"/>
          <w:lang w:val="fa-IR"/>
        </w:rPr>
        <w:t xml:space="preserve">ما هيمشه‌ مأمور بدين‌ امور هستيم‌؛ و پيوسته‌ بايد در صدد تهذيب‌ و تزکيۀ نفس‌ و تطهير خاطر برآئيم‌؛ چه‌ ظهور آن‌ حضرت‌ در فلان‌ وقت‌، مشخّص‌ باشد و يانباشد؛ وا گر در صدد برآمديم‌ موفّق‌ به‌ لقای حقيقی او خواهيم‌ شد؛ و اگر در صدد نبويدم‌، لقای بدن‌ عنصری و مادّی آن‌ حضرت‌ برای ما اثر بسياری نخواهد داشت‌؛ و از اين‌ لقاء هم‌ طَرْفی نخواهيم‌ بست‌.</w:t>
      </w:r>
    </w:p>
    <w:p>
      <w:pPr/>
      <w:r>
        <w:rPr>
          <w:rtl w:val="0"/>
          <w:lang w:val="fa-IR"/>
        </w:rPr>
        <w:t xml:space="preserve">فلهذا میبينيم‌ بسياری از افرادی که‌ اربعين‌ها در مسجد سهله‌ و يا در مسجد کوفه‌ و يا بعضی از اماکن‌ متبرّکۀ ديگر برای زيارت‌ آن‌ حضرت‌ مقيم‌ بوده‌، و به‌ زيارت‌ هم‌ نائل‌ شده‌اند، چيز مهمّی از آن‌ زيارت‌ عائدشان‌ نشده‌ است‌.</w:t>
      </w:r>
    </w:p>
    <w:p>
      <w:pPr/>
      <w:r>
        <w:rPr>
          <w:rtl w:val="0"/>
          <w:lang w:val="fa-IR"/>
        </w:rPr>
        <w:t xml:space="preserve">و آنچه‌ از همه‌ ذکرش‌ لازمتر است‌، آن‌ است‌ که‌: ظهور خارجی و عمومی آن‌ حضرت‌ هنوز واقع‌ نشده‌ است‌؛ و منوط‌ و مربوط‌ به‌ اسباب‌ و علائمی است‌ که‌ بايد تحقّق‌ پذيرد، ولی ظهور شخصی و باطنی برای افراد ممکن‌ است‌، و به‌ عبارت‌ ديگر: راه‌ وصول‌ و تشرّف‌ به‌ خدمتش‌ برای همه‌ باز است‌، غاية‌ الامر نياز به‌ تهذيب‌ اخلاق‌ و تزکيه‌ نفس‌ دارد.</w:t>
      </w:r>
    </w:p>
    <w:p>
      <w:pPr/>
      <w:r>
        <w:rPr>
          <w:rtl w:val="0"/>
          <w:lang w:val="fa-IR"/>
        </w:rPr>
        <w:t xml:space="preserve">هر کس‌ امروز در صدد لقای خدا باشد، و در راه‌ مقصود به‌ مجاهده‌ پردازد؛ بدون‌ شک‌ ظهور شخصی و باطنی آن‌ حضرت‌ برای او خواهد شد؛ زيرا لقای حضرت‌ حقّ بدون‌ لقای آيتی و مرآتی آن‌ حضرت‌ صورت‌ نپذيرد.</w:t>
      </w:r>
    </w:p>
    <w:p>
      <w:pPr>
        <w:pStyle w:val="Heading2"/>
      </w:pPr>
      <w:r>
        <w:rPr>
          <w:rtl w:val="0"/>
          <w:lang w:val="fa-IR"/>
        </w:rPr>
        <w:t xml:space="preserve">راه لقای امام زمان عليه السلام باز است</w:t>
      </w:r>
    </w:p>
    <w:p>
      <w:pPr/>
      <w:r>
        <w:rPr>
          <w:rtl w:val="0"/>
          <w:lang w:val="fa-IR"/>
        </w:rPr>
        <w:t xml:space="preserve">و محصّل‌ کلام‌ آن‌ است‌ که‌: امروزه‌ را تشرّف‌ به‌ حقيقت‌ ولايت‌ آن‌ حضرت‌ باز است‌؛ و مهم‌ هم‌ همين‌ است‌؛ ولی نياز به‌ مجاهدۀ با نفس‌ امّاره‌ و تزکيۀ اخلاق‌ و تطهير باطن‌ دارد، و محتاج‌ به‌ سير و سلوک‌ در راه‌ عرفان‌ و توحيد حضرت‌ حقّ است‌ سبحانه‌ و تعالی، خواه‌ ظهور خارجی و عمومی آن‌ حضرت‌ نيز به‌ زودی واقع‌ گردد، يا واقع‌ نگردد.</w:t>
      </w:r>
    </w:p>
    <w:p>
      <w:pPr/>
      <w:r>
        <w:rPr>
          <w:rtl w:val="0"/>
          <w:lang w:val="fa-IR"/>
        </w:rPr>
        <w:t xml:space="preserve">زيرا خداوند ظالم‌ نيست‌؛ و منع‌ فيض‌ نمیکند؛ و راه‌ وصول‌ را برای افرادی که‌ مشتاقند نبسته‌ است‌.</w:t>
      </w:r>
    </w:p>
    <w:p>
      <w:pPr/>
      <w:r>
        <w:rPr>
          <w:rtl w:val="0"/>
          <w:lang w:val="fa-IR"/>
        </w:rPr>
        <w:t xml:space="preserve">اين‌ دَر پيوسته‌ باز است‌؛ و دعوت‌ محبّان‌ و مشتاقان‌ و عاشقان‌ را لبيّک‌ میگويد.</w:t>
      </w:r>
    </w:p>
    <w:p>
      <w:pPr/>
      <w:r>
        <w:rPr>
          <w:rtl w:val="0"/>
          <w:lang w:val="fa-IR"/>
        </w:rPr>
        <w:t xml:space="preserve">بنابراين‌ بر عاشقان‌ جمال‌ الهی و مشتاقان‌ لقای حضرت‌ او جلّ و علا، لازم‌ است‌ که‌ با قدم‌های متين‌ و استوار در راه‌ سلوک‌ عرفان‌ حضرت‌ بکوشند، و با تهذيب‌ و تزکيه‌، و مراقبۀ شديد، و اهتمام‌ در وظائف‌ الهيه‌، و تکاليف‌ سبحانيّه‌، خود را به‌ سر منزل‌ مقصود نزديک‌ کنند. که‌ خواهی نخواهی در اين‌ صورت‌ از طلعت‌ مُنير امام‌ زمان‌ و قطب‌ دائرۀ امکان‌ که‌ وسيلۀ فيض‌ و واسطۀ رحمت‌ رحمانيّه‌ و رحيميّۀ حق‌ است‌ بهره‌مند و کامياب‌ میگردند؛</w:t>
      </w:r>
    </w:p>
    <w:p>
      <w:pPr/>
      <w:r>
        <w:rPr>
          <w:rtl w:val="0"/>
          <w:lang w:val="fa-IR"/>
        </w:rPr>
        <w:t xml:space="preserve">و از هر گونه‌ راههای استفاده‌ برای تکميل‌ نفوس‌ خود متمتّع‌ میشوند؛ و از جميع‌ قابليّت‌های خدادادی خود برای به‌ فعليّت‌ درآوردن‌ آنها برای وصول‌ به‌ منزل‌ کمال‌ بهره‌ میگيرند.</w:t>
      </w:r>
    </w:p>
    <w:p>
      <w:pPr>
        <w:pStyle w:val="NormalA++"/>
      </w:pPr>
      <w:r>
        <w:rPr>
          <w:rtl w:val="0"/>
          <w:lang w:val="fa-IR"/>
        </w:rPr>
        <w:t xml:space="preserve">وَفَّقَّنَا اللَه تَعَالَی وَ ايّاکم‌ بِمُحَمَّد وَآلِهِ صَلَّی اللَه عَلَی مُحَمَّدٍ وَآلِهِ.</w:t>
      </w:r>
    </w:p>
    <w:p>
      <w:pPr/>
      <w:r>
        <w:rPr>
          <w:rtl w:val="0"/>
          <w:lang w:val="fa-IR"/>
        </w:rPr>
        <w:t xml:space="preserve">در اينجا بايد سه‌ نکته‌ را در نظر داشته‌ باشيم‌:</w:t>
      </w:r>
    </w:p>
    <w:p>
      <w:pPr/>
      <w:r>
        <w:rPr>
          <w:rtl w:val="0"/>
          <w:lang w:val="fa-IR"/>
        </w:rPr>
        <w:t xml:space="preserve"> اوّل‌ آنکه‌: غيبت‌ آن‌ حضرت‌ از جانب‌ ماست‌ نه‌ از جانب‌ ايشان‌ يعنی ما به‌ واسطۀ گناه‌ و انانيّت‌ و استکبار، خود را از زيارتش‌ محروم‌ داشته‌ايم‌ نه‌ آنکه‌ ايشان‌ خود را مهجور و مختفی میدارند، و به‌ عبارت‌ ديگر او از ما غئب‌ است‌ و ما از او غائب‌ نيستيم‌.</w:t>
      </w:r>
    </w:p>
    <w:p>
      <w:pPr/>
      <w:r>
        <w:rPr>
          <w:rtl w:val="0"/>
          <w:lang w:val="fa-IR"/>
        </w:rPr>
        <w:t xml:space="preserve">نکتۀ دوّم‌ آنکه‌: قدرت‌ و علم‌ و احاطه‌ و سيطرۀ آن‌ حضرت‌ به‌ امور، متوقّف‌ بر زمان‌ ظهور نيست‌ بطوريکه‌ قبل‌ از ظهور فاقد آن‌ باشند و پس‌ از ظهور واجد شوند، بلکه‌ در هر دو حال‌ هيمنه‌ و سيطره‌ و احاطۀ تکوينيّه‌ که‌ لازمۀ ولايت‌ کليّه‌ است‌ با آن‌ حضرت‌ است‌؛ ولی قبل‌ از ظهور اين‌ مطلب‌ از انظار مردم‌ و از ادراک‌ عقول‌ و نفوس‌ پنهان‌ است‌؛ و پس‌ از ظهور آشکار میشود.</w:t>
      </w:r>
    </w:p>
    <w:p>
      <w:pPr>
        <w:pStyle w:val="NormalA++"/>
      </w:pPr>
      <w:r>
        <w:rPr>
          <w:rtl w:val="0"/>
          <w:lang w:val="fa-IR"/>
        </w:rPr>
        <w:t xml:space="preserve">نکتۀ سومّ آنکه‌: قدرت‌ عمليّه‌ و گسترش‌ علميّه‌ و احاطۀ تکوينيّۀ آن‌ حضرت‌ به‌ امور، منحصر در کارهای خير و برّ و احسانی که‌ به‌ نظر ما خير است‌ نيست‌؛ بلکه‌ هيمنه‌ و سيطرۀ بر تمام‌ امور است‌ از خيرات‌ و شرور؛ و به‌ طور کلّی بر هر عمل‌ و بر هر فعل‌ و بر هر موجودی از موجودات‌، زيرا که‌ بر اساس‌ نظام‌ کليّ عالم‌ تکوين‌، عالم‌ سراسر خيرات‌ است‌ و أبداً شرّی وجود ندارد، شرّ امر عَدَمی است‌ و از خدا نيست‌ و از وليّ خدا هم‌ نيست‌؛ </w:t>
      </w:r>
      <w:r>
        <w:rPr>
          <w:rtl w:val="0"/>
          <w:lang w:val="fa-IR"/>
        </w:rPr>
        <w:t xml:space="preserve">و الشّر لَيسَ إلَيک‌</w:t>
      </w:r>
      <w:r>
        <w:rPr>
          <w:rtl w:val="0"/>
          <w:lang w:val="fa-IR"/>
        </w:rPr>
        <w:t xml:space="preserve">.</w:t>
      </w:r>
    </w:p>
    <w:p>
      <w:pPr>
        <w:pStyle w:val="AshaarArabiMatn++"/>
      </w:pPr>
      <w:r>
        <w:rPr>
          <w:rtl w:val="0"/>
          <w:lang w:val="fa-IR"/>
        </w:rPr>
        <w:t xml:space="preserve">إذَا سَفَرَتْ فِی يَومِ عِيدٍ تَزَاحَمَتْ *** عَلَی حُسنِيهَا أبصَارَ کلِّ قَبِيلَة‌</w:t>
      </w:r>
    </w:p>
    <w:p>
      <w:pPr>
        <w:pStyle w:val="AshaarArabiMatn++"/>
      </w:pPr>
      <w:r>
        <w:rPr>
          <w:rtl w:val="0"/>
          <w:lang w:val="fa-IR"/>
        </w:rPr>
        <w:t xml:space="preserve">فَأروَاحُهُمْ تَصْبُو لِمَعْنَی جِمَالِهِا *** وَ أحْدَ اقُهُم‌ مِن‌ حُسْنِهَا فِی حَدِيقَة‌</w:t>
      </w:r>
    </w:p>
    <w:p>
      <w:pPr>
        <w:pStyle w:val="AshaarArabiMatn++"/>
      </w:pPr>
      <w:r>
        <w:rPr>
          <w:rtl w:val="0"/>
          <w:lang w:val="fa-IR"/>
        </w:rPr>
        <w:t xml:space="preserve">وَ عِندِی عِيديِ کلُ يَومٍ أرَی بِهِ *** جَمَالَ مُحَيَّاهَا بِعَينٍ قَرِيَرة‌</w:t>
      </w:r>
    </w:p>
    <w:p>
      <w:pPr>
        <w:pStyle w:val="AshaarArabiMatn++"/>
      </w:pPr>
      <w:r>
        <w:rPr>
          <w:rtl w:val="0"/>
          <w:lang w:val="fa-IR"/>
        </w:rPr>
        <w:t xml:space="preserve">وَ کلُّ اللَّيالِی لَيْلَةُ القَدْرِ إن‌ دَنَت‌ *** کمَا کلُّ ايَّامِ اللِّقا يَوْمُ جُمَعةِ</w:t>
      </w:r>
    </w:p>
    <w:p>
      <w:pPr>
        <w:pStyle w:val="AshaarArabiMatn++"/>
      </w:pPr>
      <w:r>
        <w:rPr>
          <w:rtl w:val="0"/>
          <w:lang w:val="fa-IR"/>
        </w:rPr>
        <w:t xml:space="preserve">وَ سَعْيِی لَهَا حَجُّ بِهِ کلُّ وِقْفَة *** عَلَی بَابِهَا قَدْ عَادَلَتْ کلَّ وَقْفَة‌</w:t>
      </w:r>
    </w:p>
    <w:p>
      <w:pPr>
        <w:pStyle w:val="AshaarArabiMatn++"/>
      </w:pPr>
      <w:r>
        <w:rPr>
          <w:rtl w:val="0"/>
          <w:lang w:val="fa-IR"/>
        </w:rPr>
        <w:t xml:space="preserve">وَ أيُّ بِلَادِ حَلَّتْ بِهَا فَمَا اَرَاهَا، *** وَ فِی عَيْنِی حَلَتْ، غَيْرَ مَکةِ</w:t>
      </w:r>
    </w:p>
    <w:p>
      <w:pPr>
        <w:pStyle w:val="AshaarArabiMatn++"/>
      </w:pPr>
      <w:r>
        <w:rPr>
          <w:rtl w:val="0"/>
          <w:lang w:val="fa-IR"/>
        </w:rPr>
        <w:t xml:space="preserve">وَ أَيُّ مَکانٍ ضَمَّهَا حَرَمٌ کذَا *** أرَی کلَّ دَارٍ أوْ طَنَتْ دَارَ هِجْرَة‌</w:t>
      </w:r>
    </w:p>
    <w:p>
      <w:pPr>
        <w:pStyle w:val="AshaarArabiMatn++"/>
      </w:pPr>
      <w:r>
        <w:rPr>
          <w:rtl w:val="0"/>
          <w:lang w:val="fa-IR"/>
        </w:rPr>
        <w:t xml:space="preserve">وَ مَا سَکنَتْهُ فَهُوَ بَيْتٌ مُقَدَّسٌ *** بِقُرَّةِ عَيْنِی فِيهِ اَحْشَايَ قَرَّت‌</w:t>
      </w:r>
    </w:p>
    <w:p>
      <w:pPr>
        <w:pStyle w:val="AshaarArabiMatn++"/>
      </w:pPr>
      <w:r>
        <w:rPr>
          <w:rtl w:val="0"/>
          <w:lang w:val="fa-IR"/>
        </w:rPr>
        <w:t xml:space="preserve">وَ مَسْجِديَ الاقْصَی مَسَحِبُ بُرْدِهَا *** وَ طِيبی ثَرَی أرْضٍ عَلَيْهَا تَمَشَّيتِ</w:t>
      </w:r>
    </w:p>
    <w:p>
      <w:pPr>
        <w:pStyle w:val="AshaarArabiMatn++"/>
      </w:pPr>
      <w:r>
        <w:rPr>
          <w:rtl w:val="0"/>
          <w:lang w:val="fa-IR"/>
        </w:rPr>
        <w:t xml:space="preserve">نَهَارِی أصِيلٌ کلُّهُ إن‌ تَنَسَّمَتْ *** أوَائِيلُهُ مِنهَا بِرَدِّ تَحِيَّتِی</w:t>
      </w:r>
    </w:p>
    <w:p>
      <w:pPr>
        <w:pStyle w:val="AshaarArabiMatn++"/>
      </w:pPr>
      <w:r>
        <w:rPr>
          <w:rtl w:val="0"/>
          <w:lang w:val="fa-IR"/>
        </w:rPr>
        <w:t xml:space="preserve">وَلَيْلِيَ فِيهَا کلُّهُ سَحَرُّا إذَا *** سَرَی لِيَ مِنهَا فِيهِ عَروفٌ نُسَيْمَةِ</w:t>
      </w:r>
    </w:p>
    <w:p>
      <w:pPr>
        <w:pStyle w:val="AshaarArabiMatn++"/>
      </w:pPr>
      <w:r>
        <w:rPr>
          <w:rtl w:val="0"/>
          <w:lang w:val="fa-IR"/>
        </w:rPr>
        <w:t xml:space="preserve">وَ إنْ طَرَقَتْ لَيْلا فَشَهْرِيَ کلُّهُ *** بِهَا لَيْلَةُ القَدْرِ ابْتِهَاجاً بِزَورَةِ</w:t>
      </w:r>
    </w:p>
    <w:p>
      <w:pPr>
        <w:pStyle w:val="AshaarArabiMatn++"/>
      </w:pPr>
      <w:r>
        <w:rPr>
          <w:rtl w:val="0"/>
          <w:lang w:val="fa-IR"/>
        </w:rPr>
        <w:t xml:space="preserve">وَ إن‌ قَرُبَت‌ دَارِی فَعَامِيَ کلُّهُ *** رَبِيعُ اعْتِدَالٍ فِی رِياضٍ أرِيضَةِ</w:t>
      </w:r>
    </w:p>
    <w:p>
      <w:pPr>
        <w:pStyle w:val="AshaarArabiMatn++"/>
      </w:pPr>
      <w:r>
        <w:rPr>
          <w:rtl w:val="0"/>
          <w:lang w:val="fa-IR"/>
        </w:rPr>
        <w:t xml:space="preserve">وَ إن‌ رَشِيَتْ عَنِّی فَعُمْرِيَ کلُّهُ *** زَمَانُ الصَّبَا طِيباً وَ عَصْرُ الشَّبِيَة‌</w:t>
      </w:r>
      <w:r>
        <w:rPr>
          <w:rStyle w:val="FootnoteReference"/>
        </w:rPr>
        <w:footnoteReference w:id="1"/>
      </w:r>
    </w:p>
    <w:p>
      <w:pPr/>
      <w:r>
        <w:rPr>
          <w:rtl w:val="0"/>
          <w:lang w:val="fa-IR"/>
        </w:rPr>
        <w:t xml:space="preserve">١ ـ چون‌ در روز عيدی پرده‌ از رخ‌ برگيرد، آنقدر زيباست‌ که‌ برای تماشای جمالش‌ ديدگان‌ تمام‌ قبيله‌ها با هم‌ تزاحم‌ کنند.</w:t>
      </w:r>
    </w:p>
    <w:p>
      <w:pPr/>
      <w:r>
        <w:rPr>
          <w:rtl w:val="0"/>
          <w:lang w:val="fa-IR"/>
        </w:rPr>
        <w:t xml:space="preserve">٢ ـ و بنابراين‌ أرواح‌ مردم‌ آن‌ قبائل‌ برای ادراک‌ معنای جمال‌ او به‌ سوی او روا آورده‌ و مشتاقانه‌ بدو بگروند، و ديدگان‌ مردم‌ آن‌ قبائل‌ از تماشای زيبائيهای او در باغ‌ و لاله‌زار و در تنعّم‌ به‌ سر میبرند.</w:t>
      </w:r>
    </w:p>
    <w:p>
      <w:pPr/>
      <w:r>
        <w:rPr>
          <w:rtl w:val="0"/>
          <w:lang w:val="fa-IR"/>
        </w:rPr>
        <w:t xml:space="preserve">٣ ـ و در نزد من‌، عيد من‌ آن‌ روزی است‌ که‌ چهرۀ زيبای او را با چشم‌ تازه‌ و روشن‌ ببينم‌.</w:t>
      </w:r>
    </w:p>
    <w:p>
      <w:pPr/>
      <w:r>
        <w:rPr>
          <w:rtl w:val="0"/>
          <w:lang w:val="fa-IR"/>
        </w:rPr>
        <w:t xml:space="preserve">٤ ـ و تمام‌ شبهای من‌ شب‌ قدر است‌، اگر او به‌ من‌ نزديک‌ شود، همچنانکه‌ تمام‌ روزهای من‌ ديدار و ملاقات‌، روز عيد و جمعۀ من‌ است‌.</w:t>
      </w:r>
    </w:p>
    <w:p>
      <w:pPr/>
      <w:r>
        <w:rPr>
          <w:rtl w:val="0"/>
          <w:lang w:val="fa-IR"/>
        </w:rPr>
        <w:t xml:space="preserve">٥ ـ و حرکت‌ من‌ به‌ سوی او حجّی است‌ که‌ برای او کرده‌ام‌. و هر وقوفی بر در خانه‌اش‌، معادل‌ هر وقوفی در مناسک‌ حجّ است‌.</w:t>
      </w:r>
    </w:p>
    <w:p>
      <w:pPr/>
      <w:r>
        <w:rPr>
          <w:rtl w:val="0"/>
          <w:lang w:val="fa-IR"/>
        </w:rPr>
        <w:t xml:space="preserve">٦ ـ و اگر در شهری از شهرهای خدا وارد شود، در حالی که‌ او در چشم‌ من‌ وارد شده‌ است‌، من‌ آن‌ شهر را غير از مکه‌ نمیبينم‌.</w:t>
      </w:r>
    </w:p>
    <w:p>
      <w:pPr/>
      <w:r>
        <w:rPr>
          <w:rtl w:val="0"/>
          <w:lang w:val="fa-IR"/>
        </w:rPr>
        <w:t xml:space="preserve">٧ ـ و هر مکانی که‌ او را در برگيرد حرم‌ است‌؛ همچنين‌ هر خانه‌ای که‌ او در آنجا سکونت‌ گزيده‌ است‌، خانۀ هجرت‌ است‌.</w:t>
      </w:r>
    </w:p>
    <w:p>
      <w:pPr/>
      <w:r>
        <w:rPr>
          <w:rtl w:val="0"/>
          <w:lang w:val="fa-IR"/>
        </w:rPr>
        <w:t xml:space="preserve">٨ ـ و هر جائی که‌ او در آنجا ساکن‌ شود، آنجا بيت‌ مقدس‌ است‌؛ و به‌ جهت‌ روشنی و تازگی چشم‌ من‌ در آنجا همۀ باطن‌ و احشای من‌‌تر و تازه‌ میگردد.</w:t>
      </w:r>
    </w:p>
    <w:p>
      <w:pPr/>
      <w:r>
        <w:rPr>
          <w:rtl w:val="0"/>
          <w:lang w:val="fa-IR"/>
        </w:rPr>
        <w:t xml:space="preserve">٩ ـ و مسجد الاقصای من‌ محلّکشيده‌ شدن‌ بُرد و ردای اوست‌ بر روی زمين‌، و عطر و گلاب‌ من‌ خاک‌ آن‌ زمينی است‌ که‌ او از روی آن‌ عبور کرده‌ است‌.</w:t>
      </w:r>
    </w:p>
    <w:p>
      <w:pPr/>
      <w:r>
        <w:rPr>
          <w:rtl w:val="0"/>
          <w:lang w:val="fa-IR"/>
        </w:rPr>
        <w:t xml:space="preserve">١٠ ـ اگر در اوائل‌ روز، او جواب‌ سلام‌ و تحيّت‌ مرا بدهد، تمام‌ روز من‌ همچون‌ عصر با فرح‌ و سرور خواهد بود.</w:t>
      </w:r>
    </w:p>
    <w:p>
      <w:pPr/>
      <w:r>
        <w:rPr>
          <w:rtl w:val="0"/>
          <w:lang w:val="fa-IR"/>
        </w:rPr>
        <w:t xml:space="preserve">١١ ـ و اگر در شبی بر من‌ عبور کند و از بوی نسيم‌ او به‌ مشام‌ من‌ برسد آن‌ شبِ من‌ همه‌اش‌ همچون‌ سحر وقت‌ زنده‌ و بيداری و نَباهت‌ است‌.</w:t>
      </w:r>
    </w:p>
    <w:p>
      <w:pPr/>
      <w:r>
        <w:rPr>
          <w:rtl w:val="0"/>
          <w:lang w:val="fa-IR"/>
        </w:rPr>
        <w:t xml:space="preserve">١٢ ـ و اگر شبی بر من‌ وارد شود، به‌ واسطۀ آن‌ ورود، تمام‌ آن‌ ماه‌ من‌ از شدّت‌ ابتهاجِ آن‌ ديدار يک‌ شبه‌ و زيارت‌ او در حکم‌ ليلة‌ القدر من‌ است‌.</w:t>
      </w:r>
    </w:p>
    <w:p>
      <w:pPr/>
      <w:r>
        <w:rPr>
          <w:rtl w:val="0"/>
          <w:lang w:val="fa-IR"/>
        </w:rPr>
        <w:t xml:space="preserve">١٣ ـ واگر به‌ خانۀ من‌ نزديک‌ شود، تمام‌ دوران‌ سالِ من‌ مانند فصل‌ معتدل‌ بهاری ميشود که‌ در باغهای چشم‌ انگيز و با طراوت‌ پيوسته‌ به‌ تنزّه‌ و تتعُم‌ مشغولم‌.</w:t>
      </w:r>
    </w:p>
    <w:p>
      <w:pPr/>
      <w:r>
        <w:rPr>
          <w:rtl w:val="0"/>
          <w:lang w:val="fa-IR"/>
        </w:rPr>
        <w:t xml:space="preserve">١٤ ـ وا گر از من‌ راضی شود، تمام‌ عمر من‌ از نقطۀ نظر پاکی و پاکيزگی همچون‌ ايّام‌ صباوت‌ و دوران‌ جوانی خواهد بود</w:t>
      </w:r>
      <w:r>
        <w:rPr>
          <w:rStyle w:val="FootnoteReference"/>
        </w:rPr>
        <w:footnoteReference w:id="2"/>
      </w:r>
    </w:p>
    <w:sectPr w:rsidSect="006A46D0">
      <w:footerReference w:type="even" r:id="rId5"/>
      <w:footerReference w:type="default" r:id="rId6"/>
      <w:footerReference w:type="first" r:id="rId7"/>
      <w:footnotePr>
        <w:pos w:val="pageBottom"/>
        <w:numFmt w:val="decimal"/>
        <w:numRestart w:val="eachPage"/>
      </w:footnotePr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39" name="_x0000_i0039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39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mc="http://schemas.openxmlformats.org/markup-compatibility/2006" xmlns:w="http://schemas.openxmlformats.org/wordprocessingml/2006/main">
  <w:footnote w:type="separator" w:id="-1">
    <w:p>
      <w:pPr>
        <w:ind w:firstLine="0"/>
        <w:rPr/>
      </w:pPr>
      <w:r>
        <w:separator/>
      </w:r>
    </w:p>
  </w:footnote>
  <w:footnote w:type="continuationSeparator" w:id="0">
    <w:p>
      <w:pPr>
        <w:ind w:firstLine="0"/>
        <w:rPr/>
      </w:pPr>
      <w:r>
        <w:separator/>
      </w:r>
    </w:p>
  </w:footnote>
  <w:footnote w:id="1">
    <w:p>
      <w:pPr/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ديوان‌ ابن‌ فارض‌ تائيۀ کبری، أبيات‌ ٣٥٣ به‌ بعد، ص‌ ٨٠ و ص‌ ٨١.</w:t>
      </w:r>
    </w:p>
    <w:p>
      <w:pPr>
        <w:pStyle w:val="FootnoteText"/>
      </w:pPr>
    </w:p>
  </w:footnote>
  <w:footnote w:id="2">
    <w:p>
      <w:pPr/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امام شناسی ج ٥ ، ص ١٩٠.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footnotePr>
    <w:pos w:val="pageBottom"/>
    <w:numFmt w:val="decimal"/>
    <w:numRestart w:val="eachPage"/>
    <w:footnote w:id="-1"/>
    <w:footnote w:id="0"/>
  </w:footnotePr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webSettings" Target="webSettings.xml" /><Relationship Id="rId11" Type="http://schemas.openxmlformats.org/officeDocument/2006/relationships/numbering" Target="numbering.xml" /><Relationship Id="rId12" Type="http://schemas.openxmlformats.org/officeDocument/2006/relationships/fontTable" Target="fontTable.xml" /><Relationship Id="rId13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notes" Target="footnotes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