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بیست و دوم: صوت 338</w:t>
      </w:r>
    </w:p>
    <w:p>
      <w:pPr>
        <w:pStyle w:val="Title"/>
      </w:pPr>
      <w:r>
        <w:rPr>
          <w:rtl w:val="0"/>
          <w:lang w:val="fa-IR"/>
        </w:rPr>
        <w:t xml:space="preserve">جمع‌بندی بحث استصحاب عدم تذکیه و استصحاب عدم میته</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FootnoteReference"/>
        </w:rPr>
        <w:footnoteReference w:id="1"/>
      </w:r>
    </w:p>
    <w:p>
      <w:pPr/>
      <w:r>
        <w:rPr>
          <w:rtl w:val="0"/>
          <w:lang w:val="fa-IR"/>
        </w:rPr>
        <w:t xml:space="preserve">تتمۀ بحث قدیم و اشکالی که بر آن مترتب است را عرض کنم که ماحصل صحبت‌ها و بحث‌های گذشته طبق تقریر مرحوم آقای خوئی این شد که در شبهات موضوعیه که شبهه در مورد لحوم و جلودی است که از خارج استیراد می‌شوند نظر ایشان بر حرمت جلود و لحوم و بر طهارت جلد و عدم جواز صلات در آن جلود بود. طبق آن تقریری که عرض شد و اشکالاتی که بر آن تقریر وارد شد و همان‌طور‌ی‌که خدمت رفقا عرض شد من در تقریر مرحوم آقا رضوان الله تعالیٰ علیه ـ حاشیه‌ای که دالّ بر اشکال بر تقریر مرحوم آقای خوئی است ـ ندیدم و روی این جهت بااینکه این‌طوری که نظر من هست ایشان هم قائل به نجاست جلود بودند ولی تعجب می‌کنم چطور در اینجا اشاره‌ای به این مسئله نکردند!</w:t>
      </w:r>
      <w:r>
        <w:rPr>
          <w:rStyle w:val="FootnoteReference"/>
        </w:rPr>
        <w:footnoteReference w:id="2"/>
      </w:r>
    </w:p>
    <w:p>
      <w:pPr>
        <w:pStyle w:val="Heading1"/>
      </w:pPr>
      <w:r>
        <w:rPr>
          <w:rtl w:val="0"/>
          <w:lang w:val="fa-IR"/>
        </w:rPr>
        <w:t xml:space="preserve">ایراد داشتن جمیع اقسام استصحاب میته</w:t>
      </w:r>
    </w:p>
    <w:p>
      <w:pPr>
        <w:pStyle w:val="Heading1"/>
      </w:pPr>
      <w:r>
        <w:rPr>
          <w:rtl w:val="0"/>
          <w:lang w:val="fa-IR"/>
        </w:rPr>
        <w:t xml:space="preserve">خلاف وجدان بودن صرف زهاق روح در استصحاب عدم میته</w:t>
      </w:r>
    </w:p>
    <w:p>
      <w:pPr/>
      <w:r>
        <w:rPr>
          <w:rtl w:val="0"/>
          <w:lang w:val="fa-IR"/>
        </w:rPr>
        <w:t xml:space="preserve">علیٰ‌کلّ‌حال آن چیزی که به نظر حقیر راجع به این مطلب رسید این بود که اولاً استصحاب میته به جمیع اقسامش دارای اشکال است و در استصحاب عدم میته اگر مقصود از میته صرف زهاق روح باشد که خلاف وجدان است و اگر استصحابِ امر ثبوتی باشد که عدم ذبح به شرایط غیر تذکیه است، معارضه دارد با استصحاب عدم ذبح با شرایط تذکیه که باهم تعارض و تساقط می‌کنند و در نتیجه یک استصحاب می‌تواند بماند و آن استصحاب عدم زهاق روح به غیر مباشر است. همان‌طوری‌که عرض شد در این مورد آن چیزی که ثابت است این هست که این حیوان به‌وسیلۀ مباشر ذبح شده است. اینکه به‌وسیلۀ مباشر ذبح شده باشد اصلاً نیاز به استصحاب ندارد. خود شما هم اگر نگاه کنید یک یهودی یا نصرانی حیوانی را ذبح می‌کند چه حکمی در اینجا دارد؟! وقتی شارع حکم غیر مذکّیٰ را میته قرار داده است طبق روایت امام صادق علیه‌السّلام که از حضرت سؤال می‌شود که ما در جبال هستیم و اغنام برای ثبوت در جبال با مشکل مواجه هستند، الیات این اغنام را ما قطع می‌کنیم. امام علیه‌السّلام می‌فرمایند که اینها نجس است و قابل استفاده نیست و همین‌طور قطع اعضاء در حبائل و شبائک در اینجا هم حضرت می‌فرمایند که چون از حیوان حی در آنجا قطع شده است این نجس و حرام است.</w:t>
      </w:r>
      <w:r>
        <w:rPr>
          <w:rStyle w:val="FootnoteReference"/>
        </w:rPr>
        <w:footnoteReference w:id="3"/>
      </w:r>
    </w:p>
    <w:p>
      <w:pPr/>
      <w:r>
        <w:rPr>
          <w:rtl w:val="0"/>
          <w:lang w:val="fa-IR"/>
        </w:rPr>
        <w:t xml:space="preserve">از این نقطه‌نظر شارع حکم میته را به غیر مذکّیٰ مباشر تسرّی داده است و اشکالی که در مورد آیۀ </w:t>
      </w:r>
      <w:r>
        <w:rPr>
          <w:rtl w:val="0"/>
          <w:lang w:val="fa-IR"/>
        </w:rPr>
        <w:t xml:space="preserve">﴿حُرِّمَتۡ عَلَيۡكُمُ ٱلۡمَيۡتَةُ﴾</w:t>
      </w:r>
      <w:r>
        <w:rPr>
          <w:rStyle w:val="FootnoteReference"/>
        </w:rPr>
        <w:footnoteReference w:id="4"/>
      </w:r>
      <w:r>
        <w:rPr>
          <w:rtl w:val="0"/>
          <w:lang w:val="fa-IR"/>
        </w:rPr>
        <w:t xml:space="preserve"> کرده‌اند جوابش داده شد که شأن نزول آیه در اول و ابتدای تشریع میته و غیر مذکّیٰ است لذا در لسان عرف آمده است اما در عرف متشرعه وقتی که حکم میته را به غیر مذکّیٰ ولو مباشرتاً امام علیه‌السّلام جاری و ساری کند بنابراین حکماً و تنزیلاً نجاست مترتب بر غیر مذکّیٰ هم خواهد شد و این دیگر نیاز به استصحاب ندارد بلکه همان استصحاب عدم تذکیه در اینجا اثبات حرمت و نجاست را معاً می‌کند. این مطلب همان‌طوری‌که عرض شد مبنای ما در اینجاست که همان مبنای شیخ انصاری است که قائل به نجاست در جلود، در مورد حیوان مشکوک به شبهۀ موضوعیه هستند و در اینجا هم قائل به عدم وجوب صلات حرمت و نجاست است.</w:t>
      </w:r>
      <w:r>
        <w:rPr>
          <w:rStyle w:val="FootnoteReference"/>
        </w:rPr>
        <w:footnoteReference w:id="5"/>
      </w:r>
    </w:p>
    <w:p>
      <w:pPr>
        <w:pStyle w:val="Heading1"/>
      </w:pPr>
      <w:r>
        <w:rPr>
          <w:rtl w:val="0"/>
          <w:lang w:val="fa-IR"/>
        </w:rPr>
        <w:t xml:space="preserve">اشکال مرحوم خوئی بر کلام مرحوم آقا رضا همدانی در باب روایت قاسم صیقل</w:t>
      </w:r>
    </w:p>
    <w:p>
      <w:pPr/>
      <w:r>
        <w:rPr>
          <w:rtl w:val="0"/>
          <w:lang w:val="fa-IR"/>
        </w:rPr>
        <w:t xml:space="preserve">ایشان مطلبی را نقل می‌کنند و استدلالی را مرحوم آقا رضا در </w:t>
      </w:r>
      <w:r>
        <w:rPr>
          <w:rtl w:val="0"/>
          <w:lang w:val="fa-IR"/>
        </w:rPr>
        <w:t xml:space="preserve">مصباح</w:t>
      </w:r>
      <w:r>
        <w:rPr>
          <w:rtl w:val="0"/>
          <w:lang w:val="fa-IR"/>
        </w:rPr>
        <w:t xml:space="preserve"> دارند که نسبت به آن استدلال بدوی ایشان اعتراض دارند.</w:t>
      </w:r>
      <w:r>
        <w:rPr>
          <w:rStyle w:val="FootnoteReference"/>
        </w:rPr>
        <w:footnoteReference w:id="6"/>
      </w:r>
      <w:r>
        <w:rPr>
          <w:rtl w:val="0"/>
          <w:lang w:val="fa-IR"/>
        </w:rPr>
        <w:t xml:space="preserve"> مسئله در باب اثبات به روایاتی که از ائمه علیهم‌السّلام در باب طهارت لحوم و جلود وارد است برمی‌گردد. مورد بحث روایت قاسم صیقل است که دو روایت نقل می‌کند؛ یک روایتی است که از امام رضا علیه‌السّلام به‌عنوان </w:t>
      </w:r>
      <w:r>
        <w:rPr>
          <w:rStyle w:val="Arabi"/>
          <w:rtl w:val="0"/>
          <w:lang w:val="fa-IR"/>
        </w:rPr>
        <w:t xml:space="preserve">سألت عن الرَّجل</w:t>
      </w:r>
      <w:r>
        <w:rPr>
          <w:rtl w:val="0"/>
          <w:lang w:val="fa-IR"/>
        </w:rPr>
        <w:t xml:space="preserve"> نقل می‌کند.</w:t>
      </w:r>
    </w:p>
    <w:p>
      <w:pPr/>
      <w:r>
        <w:rPr>
          <w:rtl w:val="0"/>
          <w:lang w:val="fa-IR"/>
        </w:rPr>
        <w:t xml:space="preserve">از حضرت سؤال می‌کند که شغل ما عمل و صناعت سیوف است و برای سیوف اغمده لازم است و ما این اغمده را از حمار میت و از بِغال [قاطر] میت استفاده می‌کنیم و این با لباس ما تماس پیدا می‌کند، حکم این چیست؟ ـ در ضمن هم این مطلب را مطرح می‌کند که ما غیر از این صنعت، صنعت و شغل دیگری نداریم، این را می‌گوید که مثلاً حضرت نفرمایند بروید زراعت کنید یا چیز دیگر، می‌گوید که ما کارمان همین شمشیرسازی است و غیر از این کار دیگری بلد نیستیم! ـ امام علیه‌السّلام می‌فرمایند: </w:t>
      </w:r>
      <w:r>
        <w:rPr>
          <w:rStyle w:val="RevayatArabi"/>
          <w:rtl w:val="0"/>
          <w:lang w:val="fa-IR"/>
        </w:rPr>
        <w:t xml:space="preserve">«إتّخِذ ثوباً لِصلاتِك»</w:t>
      </w:r>
      <w:r>
        <w:rPr>
          <w:rStyle w:val="FootnoteReference"/>
        </w:rPr>
        <w:footnoteReference w:id="7"/>
      </w:r>
      <w:r>
        <w:rPr>
          <w:rtl w:val="0"/>
          <w:lang w:val="fa-IR"/>
        </w:rPr>
        <w:t xml:space="preserve"> منظور حضرت این است که صلات در ثوب اشکال دارد و ثوب طبعاً به‌واسطۀ تماس با این چرم متنجّس می‌شود و نماز در آن اشکال پیدا می‌کند. این یک روایت است.</w:t>
      </w:r>
    </w:p>
    <w:p>
      <w:pPr/>
      <w:r>
        <w:rPr>
          <w:rtl w:val="0"/>
          <w:lang w:val="fa-IR"/>
        </w:rPr>
        <w:t xml:space="preserve">روایت دیگر از همین ابوالقاسم صیقل است که از ابوجعفر الثانی امام جواد علیه‌السّلام سؤال می‌کند که من از پدر شما سؤال کردم و این را شنیدم. حالا ما آمدیم به‌جای بغال میت و حمیر میت از حمیر وحش استفاده می‌کنیم و او را تذکیه می‌کنیم، حکمش چیست؟ حضرت می‌فرمایند: </w:t>
      </w:r>
      <w:r>
        <w:rPr>
          <w:rStyle w:val="RevayatArabi"/>
          <w:rtl w:val="0"/>
          <w:lang w:val="fa-IR"/>
        </w:rPr>
        <w:t xml:space="preserve">«فإن كانَ ما تَعمَلُ وَحشیّاً ذَكیّاً فلا بأسَ»</w:t>
      </w:r>
      <w:r>
        <w:rPr>
          <w:rStyle w:val="FootnoteReference"/>
        </w:rPr>
        <w:footnoteReference w:id="8"/>
      </w:r>
      <w:r>
        <w:rPr>
          <w:rtl w:val="0"/>
          <w:lang w:val="fa-IR"/>
        </w:rPr>
        <w:t xml:space="preserve"> در اینجا مرحوم آقا رضا استفاده می‌کنند که در مورد تذکیه به دلیل مفهوم مخالف، حکم به نجاست در مورد غیر مذکّیٰ است چون حضرت می‌فرمایند: </w:t>
      </w:r>
      <w:r>
        <w:rPr>
          <w:rStyle w:val="RevayatArabi"/>
          <w:rtl w:val="0"/>
          <w:lang w:val="fa-IR"/>
        </w:rPr>
        <w:t xml:space="preserve">«فإن كانَ ما تَعمَلُ وَحشیّاً ذَكیّاً فلا بأسَ»</w:t>
      </w:r>
      <w:r>
        <w:rPr>
          <w:rtl w:val="0"/>
          <w:lang w:val="fa-IR"/>
        </w:rPr>
        <w:t xml:space="preserve">، بنابراین غیر مذکّیٰ حکم نجس است، بحث دربارۀ حرمت که نیست بلکه بحث در باب نجاست است.</w:t>
      </w:r>
      <w:r>
        <w:rPr>
          <w:rStyle w:val="FootnoteReference"/>
        </w:rPr>
        <w:footnoteReference w:id="9"/>
      </w:r>
    </w:p>
    <w:p>
      <w:pPr/>
      <w:r>
        <w:rPr>
          <w:rtl w:val="0"/>
          <w:lang w:val="fa-IR"/>
        </w:rPr>
        <w:t xml:space="preserve">مرحوم آقای خوئی ایرادی که در اینجا می‌کنند، می‌گویند که نه اینجا در باب اختیار أحد الشّقین در موضع خاص است و بحث ما راجع به میته حتف أنفه و راجع به مذکّیٰ است، در این دو مورد بحث هست.</w:t>
      </w:r>
      <w:r>
        <w:rPr>
          <w:rStyle w:val="FootnoteReference"/>
        </w:rPr>
        <w:footnoteReference w:id="10"/>
      </w:r>
    </w:p>
    <w:p>
      <w:pPr/>
      <w:r>
        <w:rPr>
          <w:rtl w:val="0"/>
          <w:lang w:val="fa-IR"/>
        </w:rPr>
        <w:t xml:space="preserve">اول از حضرت سؤال می‌کند که ما از جلود میتۀ حمار و بغال استفاده می‌کنیم، بعد در روایتی که به امام جواد علیه‌السّلام عرض می‌کند در آنجا می‌گوید که ما همان حمار وحش را تذکیه می‌کنیم، بعد حضرت در اینجا می‌فرماید که </w:t>
      </w:r>
      <w:r>
        <w:rPr>
          <w:rStyle w:val="RevayatArabi"/>
          <w:rtl w:val="0"/>
          <w:lang w:val="fa-IR"/>
        </w:rPr>
        <w:t xml:space="preserve">«فإن كانَ ما تَعمَلُ وَحشیّاً ذَكیّاً فلا بأسَ»</w:t>
      </w:r>
      <w:r>
        <w:rPr>
          <w:rtl w:val="0"/>
          <w:lang w:val="fa-IR"/>
        </w:rPr>
        <w:t xml:space="preserve">، این دلیل نمی‌شود بر اینکه در مقابلش اگر خودش تذکیه نشده باشد ولی مباشر باشد به‌طوری‌که میته اطلاق نشود، آن‌هم نجس باشد یعنی حکم در اینجا اثبات نجاست میته و طهارت او را کرده است و به قسم ثالث کاری نداشته است مثل اینکه شخصی بگوید که امر دائر مدار بین بطیخ و خبز باشد؛ اکلْ خبز أو بطیخ فرض کنید مولا بگوید: </w:t>
      </w:r>
      <w:r>
        <w:rPr>
          <w:rStyle w:val="Arabi"/>
          <w:rtl w:val="0"/>
          <w:lang w:val="fa-IR"/>
        </w:rPr>
        <w:t xml:space="preserve">لا بأس بِأکل الخبز</w:t>
      </w:r>
      <w:r>
        <w:rPr>
          <w:rtl w:val="0"/>
          <w:lang w:val="fa-IR"/>
        </w:rPr>
        <w:t xml:space="preserve">، آیا این دلیل بر این است که </w:t>
      </w:r>
      <w:r>
        <w:rPr>
          <w:rStyle w:val="Arabi"/>
          <w:rtl w:val="0"/>
          <w:lang w:val="fa-IR"/>
        </w:rPr>
        <w:t xml:space="preserve">کلُّ شیء لک حرام إلاّ الخبز</w:t>
      </w:r>
      <w:r>
        <w:rPr>
          <w:rtl w:val="0"/>
          <w:lang w:val="fa-IR"/>
        </w:rPr>
        <w:t xml:space="preserve">؟! </w:t>
      </w:r>
      <w:r>
        <w:rPr>
          <w:rStyle w:val="Arabi"/>
          <w:rtl w:val="0"/>
          <w:lang w:val="fa-IR"/>
        </w:rPr>
        <w:t xml:space="preserve">لا،</w:t>
      </w:r>
      <w:r>
        <w:rPr>
          <w:rtl w:val="0"/>
          <w:lang w:val="fa-IR"/>
        </w:rPr>
        <w:t xml:space="preserve"> بحث دربارۀ بطیخ و خبز است و وقتی که خبز اختیار می‌شود در مقابلش بطیخ مردود می‌شود نه </w:t>
      </w:r>
      <w:r>
        <w:rPr>
          <w:rStyle w:val="Arabi"/>
          <w:rtl w:val="0"/>
          <w:lang w:val="fa-IR"/>
        </w:rPr>
        <w:t xml:space="preserve">کُلّ شیء</w:t>
      </w:r>
      <w:r>
        <w:rPr>
          <w:rtl w:val="0"/>
          <w:lang w:val="fa-IR"/>
        </w:rPr>
        <w:t xml:space="preserve">، مورد در اینجا مورد خاص است، مورد مورد موتیٰ است از بغال و حمیر و درمقابل تذکیۀ از حمار وحش است، حضرت تذکیه از حمار وحش را به‌عنوان طاهر قبول می‌کند و درمقابل موتیٰ از آنها رد می‌شود.</w:t>
      </w:r>
    </w:p>
    <w:p>
      <w:pPr>
        <w:pStyle w:val="Heading1"/>
      </w:pPr>
      <w:r>
        <w:rPr>
          <w:rtl w:val="0"/>
          <w:lang w:val="fa-IR"/>
        </w:rPr>
        <w:t xml:space="preserve">صحیح بودن استدلال مرحوم آقا رضا در باب روایت قاسم صیقل</w:t>
      </w:r>
    </w:p>
    <w:p>
      <w:pPr/>
      <w:r>
        <w:rPr>
          <w:rtl w:val="0"/>
          <w:lang w:val="fa-IR"/>
        </w:rPr>
        <w:t xml:space="preserve">اما به نظر می‌رسد که همان دلیل مرحوم آقا رضا درست باشد و در نقد مرحوم آقای خوئی اشکال وارد است. جهت مسئله این است که وقتی آن شخص از تذکیه و موتیٰ سؤال می‌کند، می‌توانست سؤال بکند که ما حمار وحش غیر موتیٰ را به‌کار می‌بریم، می‌توانست این مطلب را بگوید یعنی اگر در نزد این شخص طهارت مستند به غیر تذکیه باشد ـ ذبح </w:t>
      </w:r>
      <w:r>
        <w:rPr>
          <w:rStyle w:val="Arabi"/>
          <w:rtl w:val="0"/>
          <w:lang w:val="fa-IR"/>
        </w:rPr>
        <w:t xml:space="preserve">عن غیر تذکیةٍ</w:t>
      </w:r>
      <w:r>
        <w:rPr>
          <w:rtl w:val="0"/>
          <w:lang w:val="fa-IR"/>
        </w:rPr>
        <w:t xml:space="preserve"> ـ چه داعی دارد که بگوید: ما اینها را تذکیه می‌کنیم؟! خب می‌گفت که ما از حمار غیر میت استفاده می‌کنیم، حماری که من‌باب‌مثال ذئب آن حمار را کشته است یا حماری که ما آن را بدون تذکیه کشته‌ایم، حماری که به‌ هر جهت مرده است.</w:t>
      </w:r>
    </w:p>
    <w:p>
      <w:pPr/>
      <w:r>
        <w:rPr>
          <w:rtl w:val="0"/>
          <w:lang w:val="fa-IR"/>
        </w:rPr>
        <w:t xml:space="preserve">پس اینکه آمده حکم را به تذکیه برده است دلیل بر این است که غیر تذکیه را در عرف آن زمان و در عرف خودش ملحق به میت کرده است و امام علیه‌السّلام که جواب می‌دهند می‌فرمایند که اگر تذکیه بشود </w:t>
      </w:r>
      <w:r>
        <w:rPr>
          <w:rStyle w:val="RevayatArabi"/>
          <w:rtl w:val="0"/>
          <w:lang w:val="fa-IR"/>
        </w:rPr>
        <w:t xml:space="preserve">«فلا بأس»</w:t>
      </w:r>
      <w:r>
        <w:rPr>
          <w:rtl w:val="0"/>
          <w:lang w:val="fa-IR"/>
        </w:rPr>
        <w:t xml:space="preserve"> والاّ امام می‌توانست این‌طور بگوید که اگر میت نباشد </w:t>
      </w:r>
      <w:r>
        <w:rPr>
          <w:rStyle w:val="RevayatArabi"/>
          <w:rtl w:val="0"/>
          <w:lang w:val="fa-IR"/>
        </w:rPr>
        <w:t xml:space="preserve">«فلا بأس»</w:t>
      </w:r>
      <w:r>
        <w:rPr>
          <w:rtl w:val="0"/>
          <w:lang w:val="fa-IR"/>
        </w:rPr>
        <w:t xml:space="preserve">، چرا آمده گفته است که اگر تذکیه باشد؟! اگر مقصود این است که اعم از تذکیه و غیر تذکیه طاهر است، فقط موردی خارج است که آن مورد میته باشد، اگر این‌طور باشد امام [باید] بفرمایند: </w:t>
      </w:r>
      <w:r>
        <w:rPr>
          <w:rStyle w:val="Arabi"/>
          <w:rtl w:val="0"/>
          <w:lang w:val="fa-IR"/>
        </w:rPr>
        <w:t xml:space="preserve">إن کان غیر میتة فلا بأس</w:t>
      </w:r>
      <w:r>
        <w:rPr>
          <w:rtl w:val="0"/>
          <w:lang w:val="fa-IR"/>
        </w:rPr>
        <w:t xml:space="preserve"> که همۀ موارد را شامل بشود.</w:t>
      </w:r>
    </w:p>
    <w:p>
      <w:pPr>
        <w:pStyle w:val="Heading1"/>
      </w:pPr>
      <w:r>
        <w:rPr>
          <w:rtl w:val="0"/>
          <w:lang w:val="fa-IR"/>
        </w:rPr>
        <w:t xml:space="preserve">عدم اختصاص غیر مذکّیٰ به میته</w:t>
      </w:r>
    </w:p>
    <w:p>
      <w:pPr/>
      <w:r>
        <w:rPr>
          <w:rtl w:val="0"/>
          <w:lang w:val="fa-IR"/>
        </w:rPr>
        <w:t xml:space="preserve">بنابراین شارع فرموده که </w:t>
      </w:r>
      <w:r>
        <w:rPr>
          <w:rStyle w:val="Arabi"/>
          <w:rtl w:val="0"/>
          <w:lang w:val="fa-IR"/>
        </w:rPr>
        <w:t xml:space="preserve">إن کان مذکّیٰ</w:t>
      </w:r>
      <w:r>
        <w:rPr>
          <w:rtl w:val="0"/>
          <w:lang w:val="fa-IR"/>
        </w:rPr>
        <w:t xml:space="preserve"> یعنی اگر غیر مذکّیٰ باشد </w:t>
      </w:r>
      <w:r>
        <w:rPr>
          <w:rStyle w:val="Arabi"/>
          <w:rtl w:val="0"/>
          <w:lang w:val="fa-IR"/>
        </w:rPr>
        <w:t xml:space="preserve">فَفیه بحثٌ</w:t>
      </w:r>
      <w:r>
        <w:rPr>
          <w:rtl w:val="0"/>
          <w:lang w:val="fa-IR"/>
        </w:rPr>
        <w:t xml:space="preserve"> و غیر مذکّیٰ خودش عام است، شما چه حصری دارید که منظور از غیر مذکّیٰ میته است؟! چه دلیلی دارید؟! مورد که مخصِّص نیست! برفرض که مورد، مورد میته و مذکّیٰ است حضرت مذکّیٰ را اختیار کرده است پس حضرت می‌فرمایند که </w:t>
      </w:r>
      <w:r>
        <w:rPr>
          <w:rStyle w:val="Arabi"/>
          <w:rtl w:val="0"/>
          <w:lang w:val="fa-IR"/>
        </w:rPr>
        <w:t xml:space="preserve">مذکّیٰ طاهرٌ و غیر مذکّیٰ نجسٌ</w:t>
      </w:r>
      <w:r>
        <w:rPr>
          <w:rtl w:val="0"/>
          <w:lang w:val="fa-IR"/>
        </w:rPr>
        <w:t xml:space="preserve">. حالا غیر مذکّیٰ اعم از میتۀ حتف أنفه باشد یا میتۀ با شرایط غیر تذکیه باشد.</w:t>
      </w:r>
    </w:p>
    <w:p>
      <w:pPr/>
      <w:r>
        <w:rPr>
          <w:rtl w:val="0"/>
          <w:lang w:val="fa-IR"/>
        </w:rPr>
        <w:t xml:space="preserve">بنابراین استدلال مرحوم آقا رضا همدانی به قوّت خودش باقی است و این جلود و لحومی که از خارج استیراد می‌شود با فرض جریان اصل عدم تذکیه هم حکم به حرمت و هم حکم به نجاست خواهد شد. </w:t>
      </w:r>
      <w:r>
        <w:rPr>
          <w:rStyle w:val="Arabi"/>
          <w:rtl w:val="0"/>
          <w:lang w:val="fa-IR"/>
        </w:rPr>
        <w:t xml:space="preserve">هذا آخرُ الکلام فی مسئلة اصالة عدم التذکیة</w:t>
      </w:r>
      <w:r>
        <w:rPr>
          <w:rtl w:val="0"/>
          <w:lang w:val="fa-IR"/>
        </w:rPr>
        <w:t xml:space="preserve"> بنابراین طبق آن چیزی که به‌دست آمد اگر شبهه شبهۀ حکمیه باشد همان‌طوری‌که عرض شد اصالت عدم تذکیه جاری نیست، اگر شبهات ما شبهات موضوعیه است اصالت عدم تذکیه جاری است و حکم نجاست و حرمت هم خواهد شد. این تمام مسئله بود.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 طهرانی... خیلی راحت بود هر وقت حوصله نداشت نمی‌آمد، شاگردانش هم به وضع و احوالش مطّلع بودند، می‌گفتند که چرا نیامدید؟! می‌گفت: دیروز دلم نیامد بیایم! یک وقت شاگردانش دیدند یکی دو روز نیامد، سه روز نیامد، درس را تعطیل کرده بودند به خانه‌اش رفتند و متوجه شدند او در خانه نیست ـ زن هم نداشت ـ خلاصه یکی برحسب اتفاق به مسجد کوفه رفته بود دیده بود که در یکی از این حجرات مسجد کوفه نشسته بود و یک حصیری هم پهن کرده بود، هوا گرم بود، به او گفتند که چرا درس نمی‌دهی؟! گفت که یک پولی از ایران به من رسیده است و تا تمام نشود درس نمی‌دهم! خیلی باحال بود! همۀ اینها را می‌داند ...</w:t>
      </w:r>
    </w:p>
    <w:p>
      <w:pPr/>
      <w:r>
        <w:rPr>
          <w:rtl w:val="0"/>
          <w:lang w:val="fa-IR"/>
        </w:rPr>
        <w:t xml:space="preserve">تلمیذ: </w:t>
      </w:r>
      <w:r>
        <w:rPr>
          <w:rtl w:val="0"/>
          <w:lang w:val="fa-IR"/>
        </w:rPr>
        <w:t xml:space="preserve">می‌دانست شاگردانش به‌درد نمی‌خورند!</w:t>
      </w:r>
    </w:p>
    <w:p>
      <w:pPr>
        <w:pStyle w:val="FootnoteText"/>
      </w:pPr>
      <w:r>
        <w:rPr>
          <w:rtl w:val="0"/>
          <w:lang w:val="fa-IR"/>
        </w:rPr>
        <w:t xml:space="preserve">استاد: </w:t>
      </w:r>
      <w:r>
        <w:rPr>
          <w:rtl w:val="0"/>
          <w:lang w:val="fa-IR"/>
        </w:rPr>
        <w:t xml:space="preserve">نه، شاگردهایش خوب و مستعد بودند، او درس‌هایش سنگین بود. من تقریراتش را که مطالعه می‌کردم خیلی آدم قوی بود اصلاً با عبارات شیخ انصاری انگار دارد بازی می‌کند.</w:t>
      </w:r>
    </w:p>
    <w:p>
      <w:pPr>
        <w:pStyle w:val="FootnoteText"/>
      </w:pPr>
      <w:r>
        <w:rPr>
          <w:rtl w:val="0"/>
          <w:lang w:val="fa-IR"/>
        </w:rPr>
        <w:t xml:space="preserve">تتمه‌اش را إن‌شاءالله امروز می‌خوانیم و فردا بحث حسن احتیاط را مطرح می‌کنیم که خیال می‌کنم قدری کار دارد.</w:t>
      </w:r>
    </w:p>
    <w:p>
      <w:pPr/>
      <w:r>
        <w:rPr>
          <w:rtl w:val="0"/>
          <w:lang w:val="fa-IR"/>
        </w:rPr>
        <w:t xml:space="preserve">تلمیذ: </w:t>
      </w:r>
      <w:r>
        <w:rPr>
          <w:rtl w:val="0"/>
          <w:lang w:val="fa-IR"/>
        </w:rPr>
        <w:t xml:space="preserve">...</w:t>
      </w:r>
    </w:p>
    <w:p>
      <w:pPr>
        <w:pStyle w:val="FootnoteText"/>
      </w:pPr>
      <w:r>
        <w:rPr>
          <w:rtl w:val="0"/>
          <w:lang w:val="fa-IR"/>
        </w:rPr>
        <w:t xml:space="preserve">استاد: </w:t>
      </w:r>
      <w:r>
        <w:rPr>
          <w:rtl w:val="0"/>
          <w:lang w:val="fa-IR"/>
        </w:rPr>
        <w:t xml:space="preserve">...</w:t>
      </w:r>
    </w:p>
    <w:p>
      <w:pPr>
        <w:pStyle w:val="She'rPavaraghi"/>
      </w:pPr>
      <w:r>
        <w:rPr>
          <w:rtl w:val="0"/>
          <w:lang w:val="fa-IR"/>
        </w:rPr>
        <w:t xml:space="preserve">علْم رسمی سر به سر قیل است و قال *** نه از او کیفیتی حاصل، نه حال *** </w:t>
      </w:r>
    </w:p>
    <w:p>
      <w:pPr>
        <w:pStyle w:val="FootnoteText"/>
      </w:pPr>
      <w:r>
        <w:rPr>
          <w:rtl w:val="0"/>
          <w:lang w:val="fa-IR"/>
        </w:rPr>
        <w:t xml:space="preserve">یعنی فرق نمی‌کند انسان در هر رشته‌ای باشد حتی عرفان هم درس بدهد حتی توحید را هم بخواهد بگوید، همان‌جا هم انحراف هست، همان‌جا هم تشتّت است و تفاوتی نمی‌کند. در هر چیزی و در هر راهی و در هر مسیری انسان حرکت بکند یک قِسمِ آن خداست و یک قسمِ آن شیطان است و هیچ تفاوتی نمی‌کند.</w:t>
      </w:r>
    </w:p>
    <w:p>
      <w:pPr>
        <w:pStyle w:val="FootnoteText"/>
      </w:pPr>
      <w:r>
        <w:rPr>
          <w:rtl w:val="0"/>
          <w:lang w:val="fa-IR"/>
        </w:rPr>
        <w:t xml:space="preserve">امروز قبل از اینکه به درس بیایم چند نفر از طهران آمده بودند و صحبت و اینها مطرح شد و یک طرح‌های خیلی بلندپروازانه داشتند، من گفتم که این دو سه روز دنیا برای چیست؟! یک لقمه نان که شما به‌دست می‌آورید، این کاری که به قول خودت می‌خواهی بروی انجام بدهی ـ به قول خودت دویست میلیون دلار برای... ـ چه اثری برای شما دارد؟! اگر مقصود زندگی در این دنیا و گذران زندگی است، در همین حد متعارف کافی است چرا انسان بیاید به خودش این دغدغه‌ها و مشکلات و مسافرت‌ها را تحمیل کند؟! آخرش بندۀ خدا به ما گفت که یک استخاره بکنید اگر بد آمد من این کار را نمی‌کنم! ما گفتیم که باشد، بعد یک استخاره کردیم این آیه آمد:</w:t>
      </w:r>
    </w:p>
    <w:p>
      <w:pPr>
        <w:pStyle w:val="NaghlegholPavaraghi"/>
      </w:pPr>
      <w:r>
        <w:rPr>
          <w:rtl w:val="0"/>
          <w:lang w:val="fa-IR"/>
        </w:rPr>
        <w:t xml:space="preserve">﴿مَّثَلُ ٱلَّذِينَ كَفَرُواْ بِرَبِّهِمۡ أَعۡمَٰلُهُمۡ كَرَمَادٍ ٱشۡتَدَّتۡ بِهِ ٱلرِّيحُ فِي يَوۡمٍ عَاصِفٖ لَّا يَقۡدِرُونَ مِمَّا كَسَبُواْ عَلَىٰ شَيۡءٖ ذَٰلِكَ هُوَ ٱلضَّلَٰلُ ٱلۡبَعِيدُ﴾</w:t>
      </w:r>
      <w:r>
        <w:rPr>
          <w:rtl w:val="0"/>
          <w:lang w:val="fa-IR"/>
        </w:rPr>
        <w:t xml:space="preserve"> *** </w:t>
      </w:r>
    </w:p>
    <w:p>
      <w:pPr>
        <w:pStyle w:val="FootnoteText"/>
      </w:pPr>
      <w:r>
        <w:rPr>
          <w:rtl w:val="0"/>
          <w:lang w:val="fa-IR"/>
        </w:rPr>
        <w:t xml:space="preserve">گفتم که نگاه کنید و ببینید چه چیزی می‌گوید؟! بندۀ خدا منصرف شد! بعد به او گفتم که تصور نکنید این مربوط به شماست بلکه ما هم همین هستیم، زندگی ما هم همین است، انسان می‌آید یک قدمی برمی‌دارد و یک حرکتی انجام می‌دهد، شیطان شروع به وسوسه کردن می‌کند بعد کم‌کم آن مسیر اصلی فراموش می‌شود و در جاده می‌افتیم و همین‌طور به انحراف می‌رود، یک‌دفعه سر از یک جایی درمی‌آوریم که اسم و رسم، خدا، تبلیغ دین و شریعت [است] ولی همه‌اش برای نفس است، همه‌اش برای خودت است، همه‌اش برای مطرح شدن است لذا خیلی باید انسان زرنگ باشد، آن موقع که مسئله دارد مشخص می‌شود و می‌خواهد از مرز بین خدا و شیطان عدول کند همان‌جا را ببندد، سر بزنگاه متوجه باشد.</w:t>
      </w:r>
    </w:p>
    <w:p>
      <w:pPr>
        <w:pStyle w:val="FootnoteText"/>
      </w:pPr>
      <w:r>
        <w:rPr>
          <w:rtl w:val="0"/>
          <w:lang w:val="fa-IR"/>
        </w:rPr>
        <w:t xml:space="preserve">گفتم که مرحوم پدر ما وقتی که در نجف بود شاگرد اول درس‌ها بود، حتی اصلاً ایشان آسید علی سیستانی را قبول نداشت، آسید علی سیستانی پیش ایشان می‌آمدند التماس می‌کردند که بحث بگذارند، آقای خوئی به ایشان گفته بودند که اگر شما تنها به درس فقه من بیایی من درس را شروع می‌کنم ـ آقای خوئی اصول می‌گفتند ـ ایشان نرفت و گفت من نمی‌آیم فقه ایشان را نمی‌پسندید. اکثر علمای نجف به اتفاق می‌گفتند که آسید محمدحسین در نجف بماند مرجع وحید می‌شود، این را همه می‌گفتند ولی ایشان وقتی که به نجف رفت اول کاری که وارد عراق شد انجام داد این بود که به سرداب سامرا رفت و دو رکعت نماز خواند و استغاثه به امام عصر کرد که ما اینجا آمدیم نوکر تو باشیم، اگر قرار بر این است که این نجف آمدن، ما را به دنیا و بیا و برو و مرجعیت ـ این‌طوری که داری ‌می‌بینی ـ بیندازد همین‌جا ترتیب ما را بده و [ما را از هستی ساقط کن] خلاصه ما بمیریم بهتر است تا در این مسائل بیافتیم!</w:t>
      </w:r>
    </w:p>
    <w:p>
      <w:pPr>
        <w:pStyle w:val="FootnoteText"/>
      </w:pPr>
      <w:r>
        <w:rPr>
          <w:rtl w:val="0"/>
          <w:lang w:val="fa-IR"/>
        </w:rPr>
        <w:t xml:space="preserve">بعد ایشان هفت سال در نجف بودند و دروس آقای خوئی، شاهرودی، حاج شیخ حسین حلّی، آشیخ آقابزرگ طهرانی شرکت می‌کردند و افرادی که در آنجا بودند مثل آسید عبدالهادی شیرازی، آسید جمال‌الدین گلپایگانی، آقای هاتف قوچانی و یک عده‌ای مشهور و اینها هم بودند. در تمام این مدت یک نماز جماعت شرکت نکرد، یک مجلس روضه نرفت، یک شب‌نشینی‌های کذا ـ شما [عرب‌ها] می‌گویید: رِشِه ـ شرکت نکرد و فقط به درس مشغول بودند و شب‌های پنجشنبه به مسجد سهله می‌رفتند، چون شب چهارشنبه شب درسی بود و شلوغ هم بود، امام زمان هم که چهارشنبه و پنجشنبه ندارد لذا اغلب شب‌های پنجشنبه می‌رفتند. بعد از هفت سال در نجف ماندن و فلان یک مرتبه استادشان می‌فرمایند که شما باید به ایران بروید، همان‌جا بار را جمع می‌کند و به ایران می‌آید. حالا اگر ما بودیم چه‌کار می‌کردیم، کم‌کم بیا و بروها، سلام و صلوات‌ها، حضرت آیة‌الله، برای عظمت اسلام وجود مبارک را از همۀ بلیّات مصون بفرماید و محفوظ بدارد! سایۀ مبارک و ظل ضلیل ـ ضلیل با صاد ضاد، نه با طاء ظاء ـ حضرت‌عالی را مستدام بدارد و...! یک بادی از این‌طرف و یک بادی از آن‌طرف، اصلاً آن مسئله و حقیقت فراموش می‌شود و انسان به قشر و پوست و اینها گرفتار می‌شود و امروز را به فردا و فردا را به پس‌فردا می‌اندازد و به رتق و فتق امور [مردم] و جواب نامه‌ها و استفتاء و مجلس و غیره گرفتار می‌شود. نتیجه‌اش چه چیزی می‌شود؟! نتیجه این می‌شود وقتی که مرحوم آقا ـ رضوان الله تعالی علیه ـ به دیدن فلان آقا در کوفه می‌روند یک نگاهی می‌کند و می‌گوید که آقای آسید محمدحسین شما خودت را نجات دادی و ما گرفتار شدیم. می‌خواستی نکنی آقا! مگر نامه از امام زمان علیه‌السّلام برای شما آمده است که این کار را بکن؟! چه کسی گفته است که اگر بنده کناری بنشینم دین خدا ازبین می‌رود و خراب می‌شود؟! نه، دین صاحب دارد، هر که را بخواهد می‌آورد، من که صاحب دین نیستم، صاحب دین شخص دیگری است. می‌گویند که نه آقا اگر ما سنگر دین را خالی کنیم دین ازبین می‌رود! نه آقا دین صاحب دارد، چه کسی می‌گوید که ازبین می‌رود؟! تمام اینها گول زدن است و بعد از یک عمر به انسان می‌گویند که بفرمایید! پرونده بسته شد و رفت!</w:t>
      </w:r>
    </w:p>
    <w:p>
      <w:pPr>
        <w:pStyle w:val="FootnoteText"/>
      </w:pPr>
      <w:r>
        <w:rPr>
          <w:rtl w:val="0"/>
          <w:lang w:val="fa-IR"/>
        </w:rPr>
        <w:t xml:space="preserve">یک آقایی در یکی از شهرستان‌ها بود که اهل فلسفه و کتب و شروح بود. مرحوم آقا ـ رضوان الله تعالیٰ علیه ـ می‌فرمودند که وقتی ما در نجف بودیم اینها آمده بودند پیش ما زبان آلمانی بخوانند ـ این شخص و دو سه نفر دیگر ـ که آلمان برای تبلیغ بروند، گفتند که من حوصله نداشتم به اینها آلمانی درس بدهم لذا به آنها گفتم که پی کارتان بروید، ما آمدیم اینجا درس بخوانیم، خلاصه مأیوس شدند و رفتند و بعداً خودشان پیش افراد دیگر رفتند.</w:t>
      </w:r>
    </w:p>
    <w:p>
      <w:pPr>
        <w:pStyle w:val="FootnoteText"/>
      </w:pPr>
      <w:r>
        <w:rPr>
          <w:rtl w:val="0"/>
          <w:lang w:val="fa-IR"/>
        </w:rPr>
        <w:t xml:space="preserve">یک روز من و مرحوم آقا در زمان شاه ـ من آن‌موقع پانزده‌ساله بودم ـ در یکی از خیابان‌های طهران می‌رفتیم صبح زود بود این آقا را دیدیم و مرحوم آقا به او گفتند که چه‌کار می‌کنید؟ ایشان جواب دادند که الحمدلله مشغولیم آقا، مشغولیم آقا، مکاتباتی با فلاسفۀ غرب داریم، بعد ما رفتیم.</w:t>
      </w:r>
    </w:p>
    <w:p>
      <w:pPr>
        <w:pStyle w:val="FootnoteText"/>
      </w:pPr>
      <w:r>
        <w:rPr>
          <w:rtl w:val="0"/>
          <w:lang w:val="fa-IR"/>
        </w:rPr>
        <w:t xml:space="preserve">به این آقا گفتند که شما سرطان گرفتید، این آقایی که درس اخلاق داشت و اهل کتاب و فلسفه و شروح بود و برو و بیا داشت دیگر نمی‌شد کسی با او حرف بزند و اصلاً کسی را به خانه راه نمی‌داد! به او گفتند که تو سرطان گرفتی و بعد از یک مدتی مُرد! قبل از زمانی که دکترها گفتند او مُرد! یکی هم مثل پدر ما است که به ایشان گفتند که آقا قلب شما از کار ایستاده است! آقا وضع شما خطیر است! ایشان فرمودند که عجب! نه، قلب دارد می‌زند! آنوریسم قلبی *** گرفته بودند و نبض نداشتند به ایشان گفتند که طرف راست شما نبض ندارد، فرمودند که نداشته باشد! اصلاً می‌خندیدند! چطور می‌شود اینها را باور کرد که یکی این‌طور است و یکی آن‌طور است؟! او دیگر راحت است و بار خود را بسته است و بماند یا برود [برایش فرقی ندارد] می‌گوید که هر آنی زودتر برویم. ولی او نه، یک عمر دور خودش چرخیده است و خیال کرده است برای دیگری دارد کار می‌کند ولی برای خودش داشته کار می‌کرده است. این قلم‌هایی که نوشته است برای خودش بوده است. ای کاش به‌جای نوشتن‌ها به چیز دیگری می‌پرداخت. آن‌وقت موقع رفتن معلوم می‌شود که این حالش چطور است، آن حالش چطور است و این در چه وضعیتی است و آن در چه وضعیتی است. اینکه امروز خدمتتان مقداری نقادی و نقالی کردیم به‌خاطر این است که بحث جدید را از جلسۀ بعد شروع کنیم.</w:t>
      </w:r>
    </w:p>
    <w:p>
      <w:pPr>
        <w:pStyle w:val="FootnoteText"/>
      </w:pPr>
      <w:r>
        <w:rPr>
          <w:rtl w:val="0"/>
          <w:lang w:val="fa-IR"/>
        </w:rPr>
        <w:t xml:space="preserve"> *** .</w:t>
      </w:r>
      <w:r>
        <w:rPr>
          <w:rtl w:val="0"/>
          <w:lang w:val="fa-IR"/>
        </w:rPr>
        <w:t xml:space="preserve"> نان و حلوا</w:t>
      </w:r>
      <w:r>
        <w:rPr>
          <w:rtl w:val="0"/>
          <w:lang w:val="fa-IR"/>
        </w:rPr>
        <w:t xml:space="preserve">، شیخ بهایی، بخش 4 ـ </w:t>
      </w:r>
      <w:r>
        <w:rPr>
          <w:rStyle w:val="Arabi"/>
          <w:rtl w:val="0"/>
          <w:lang w:val="fa-IR"/>
        </w:rPr>
        <w:t xml:space="preserve">فی التَّأسُّفِ وَ النّدامَةِ عَلیٰ صَرفِ العُمرِ فیما لا یَنفَعُ فی القیامَةِ و</w:t>
      </w:r>
      <w:r>
        <w:rPr>
          <w:rtl w:val="0"/>
          <w:lang w:val="fa-IR"/>
        </w:rPr>
        <w:t xml:space="preserve"> ... .</w:t>
      </w:r>
    </w:p>
    <w:p>
      <w:pPr>
        <w:pStyle w:val="FootnoteText"/>
      </w:pPr>
      <w:r>
        <w:rPr>
          <w:rtl w:val="0"/>
          <w:lang w:val="fa-IR"/>
        </w:rPr>
        <w:t xml:space="preserve"> *** .</w:t>
      </w:r>
      <w:r>
        <w:rPr>
          <w:rStyle w:val="FootnoteReference"/>
          <w:rtl w:val="0"/>
          <w:lang w:val="fa-IR"/>
        </w:rPr>
        <w:t xml:space="preserve"> </w:t>
      </w:r>
      <w:r>
        <w:rPr>
          <w:rtl w:val="0"/>
          <w:lang w:val="fa-IR"/>
        </w:rPr>
        <w:t xml:space="preserve">سوره ابراهیم (14) آیه 18. </w:t>
      </w:r>
      <w:r>
        <w:rPr>
          <w:rtl w:val="0"/>
          <w:lang w:val="fa-IR"/>
        </w:rPr>
        <w:t xml:space="preserve">الله شناسی</w:t>
      </w:r>
      <w:r>
        <w:rPr>
          <w:rtl w:val="0"/>
          <w:lang w:val="fa-IR"/>
        </w:rPr>
        <w:t xml:space="preserve">، ج 2، ص 25:</w:t>
      </w:r>
    </w:p>
    <w:p>
      <w:pPr>
        <w:pStyle w:val="FootnoteText"/>
      </w:pPr>
      <w:r>
        <w:rPr>
          <w:rtl w:val="0"/>
          <w:lang w:val="fa-IR"/>
        </w:rPr>
        <w:t xml:space="preserve">«مثال كسانى كه به پروردگارشان كافر شده‏اند، اعمالشان همچون خاكسترى مى‏باشد كه در روز طوفانى، تندبادى بر آن بوزد. آنان قدرت بر نگه داشتن هيچ‌چيزى از مكتسبات خود را ندارند. (اى پيغمبر) آن است عبارت از گمراهى بعيد.»</w:t>
      </w:r>
    </w:p>
    <w:p>
      <w:pPr>
        <w:pStyle w:val="FootnoteText"/>
      </w:pPr>
      <w:r>
        <w:rPr>
          <w:rtl w:val="0"/>
          <w:lang w:val="fa-IR"/>
        </w:rPr>
        <w:t xml:space="preserve"> *** . به بیرون‌زدگی و برآمدگی که در شریان‌ها و سرخرگ‌های اصلی قلبی ایجاد می‌شود، آنوریسم قلبی گفته می‌شود. آنوریسم‌ها می‌توانند در رگ‌های داخل قفسه سینه یا در رگ‌های داخل عضلۀ قلب باشند. آنوریسم‌ها مانند توپ‌های بادکنکی شکل هستند که در دیوارۀ سرخرگ‌ها به وجود می‌آیند و داخل این توپ‌های بادکنکی پر از خون است. در آنوریسم‌های قلبی بسته به شدت برآمدگی و میزان خون جمع شده، احتمال پارگی آنها وجود دارد.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مصباح الأصول</w:t>
      </w:r>
      <w:r>
        <w:rPr>
          <w:rtl w:val="0"/>
          <w:lang w:val="fa-IR"/>
        </w:rPr>
        <w:t xml:space="preserve">، ج ‏2، ص 139 ـ 140.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‏6، </w:t>
      </w:r>
      <w:r>
        <w:rPr>
          <w:rStyle w:val="Arabi"/>
          <w:rtl w:val="0"/>
          <w:lang w:val="fa-IR"/>
        </w:rPr>
        <w:t xml:space="preserve">كتابُ الأطعِمَة، بابُ ما یُقطَعُ مِن ألَیاتِ الضَّأن و ما یُقطَعُ من الصَّیدِ بنصفَین</w:t>
      </w:r>
      <w:r>
        <w:rPr>
          <w:rtl w:val="0"/>
          <w:lang w:val="fa-IR"/>
        </w:rPr>
        <w:t xml:space="preserve">‏، ص 255، ح 3.</w:t>
      </w:r>
    </w:p>
  </w:footnote>
  <w:footnote w:id="4">
    <w:p>
      <w:pPr>
        <w:pStyle w:val="FootnoteText"/>
      </w:pPr>
      <w:r>
        <w:rPr>
          <w:rStyle w:val="FootnoteReference"/>
        </w:rPr>
        <w:footnoteRef/>
      </w:r>
      <w:r>
        <w:t xml:space="preserve"> </w:t>
      </w:r>
      <w:r>
        <w:rPr>
          <w:rtl w:val="0"/>
          <w:lang w:val="fa-IR"/>
        </w:rPr>
        <w:t xml:space="preserve">. سوره مائده (5) آیه 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3، ص 200.</w:t>
      </w:r>
    </w:p>
  </w:footnote>
  <w:footnote w:id="6">
    <w:p>
      <w:pPr>
        <w:pStyle w:val="FootnoteText"/>
      </w:pPr>
      <w:r>
        <w:rPr>
          <w:rStyle w:val="FootnoteReference"/>
        </w:rPr>
        <w:footnoteRef/>
      </w:r>
      <w:r>
        <w:t xml:space="preserve"> </w:t>
      </w:r>
      <w:r>
        <w:rPr>
          <w:rtl w:val="0"/>
          <w:lang w:val="fa-IR"/>
        </w:rPr>
        <w:t xml:space="preserve">. جهت اطلاع بیشتر رجوع شود به</w:t>
      </w:r>
      <w:r>
        <w:rPr>
          <w:rtl w:val="0"/>
          <w:lang w:val="fa-IR"/>
        </w:rPr>
        <w:t xml:space="preserve"> مصباح الفقيه</w:t>
      </w:r>
      <w:r>
        <w:rPr>
          <w:rtl w:val="0"/>
          <w:lang w:val="fa-IR"/>
        </w:rPr>
        <w:t xml:space="preserve">، ج 8، ص 377؛ </w:t>
      </w:r>
      <w:r>
        <w:rPr>
          <w:rtl w:val="0"/>
          <w:lang w:val="fa-IR"/>
        </w:rPr>
        <w:t xml:space="preserve">مصباح الأصول</w:t>
      </w:r>
      <w:r>
        <w:rPr>
          <w:rtl w:val="0"/>
          <w:lang w:val="fa-IR"/>
        </w:rPr>
        <w:t xml:space="preserve">، ج 1، ص 362.</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۳، </w:t>
      </w:r>
      <w:r>
        <w:rPr>
          <w:rStyle w:val="Arabi"/>
          <w:rtl w:val="0"/>
          <w:lang w:val="fa-IR"/>
        </w:rPr>
        <w:t xml:space="preserve">كتابُ الصَّلاة، بابُ الرَّجُلِ یُصَلّی فی الثَّوبِ وَ هوَ غَیرُ طاهِرٍ عالِماً أو جاهِلاً، </w:t>
      </w:r>
      <w:r>
        <w:rPr>
          <w:rtl w:val="0"/>
          <w:lang w:val="fa-IR"/>
        </w:rPr>
        <w:t xml:space="preserve">ص 4۰۷، ح 16:</w:t>
      </w:r>
    </w:p>
    <w:p>
      <w:pPr>
        <w:pStyle w:val="FootnoteText"/>
      </w:pPr>
      <w:r>
        <w:rPr>
          <w:rStyle w:val="Arabi"/>
          <w:rtl w:val="0"/>
          <w:lang w:val="fa-IR"/>
        </w:rPr>
        <w:t xml:space="preserve">«عن قاسِمٍ الصّیقلِ قال: كَتبتُ إلى الرِّضا علیهِ‌السّلامُ: أنّی أعمَلُ أغمادَ السُّیوفِ مِن جُلودِ الحُمُرِ المیتةِ فیُصیبُ ثیابی فأُصلّی فیها فكتب علیهِ السّلامُ إلیّ: ”</w:t>
      </w:r>
      <w:r>
        <w:rPr>
          <w:rStyle w:val="RevayatArabi"/>
          <w:rtl w:val="0"/>
          <w:lang w:val="fa-IR"/>
        </w:rPr>
        <w:t xml:space="preserve">إتّخِذ ثوباً لِصلاتِك“.</w:t>
      </w:r>
    </w:p>
    <w:p>
      <w:pPr>
        <w:pStyle w:val="FootnoteText"/>
      </w:pPr>
      <w:r>
        <w:rPr>
          <w:rStyle w:val="Arabi"/>
          <w:rtl w:val="0"/>
          <w:lang w:val="fa-IR"/>
        </w:rPr>
        <w:t xml:space="preserve">فكَتَبتُ إلى أبی‌جعفرٍ الثّانی علیهِ‌السّلامُ كُنتُ كتبتُ إلى أبیك علیهِ‌السّلامُ بِكذا و كذا فصَعَّبَ علیّ ذلِك فَصِرتُ أعملُها مِن جُلودِ الحُمُرِ الوحشیّةِ الذّكیّةِ فكتب علیهِ السّلامُ إلیّ: ”</w:t>
      </w:r>
      <w:r>
        <w:rPr>
          <w:rStyle w:val="RevayatArabi"/>
          <w:rtl w:val="0"/>
          <w:lang w:val="fa-IR"/>
        </w:rPr>
        <w:t xml:space="preserve">كُلُّ أعمالِ البِرِّ بِالصَّبرِ یَرحَمُكَ اللهُ فإن كانَ ما تَعمَلُ وَحشیّاً ذَكیّاً فلا بأسَ</w:t>
      </w:r>
      <w:r>
        <w:rPr>
          <w:rStyle w:val="Arabi"/>
          <w:rtl w:val="0"/>
          <w:lang w:val="fa-IR"/>
        </w:rPr>
        <w:t xml:space="preserve">.“»</w:t>
      </w:r>
    </w:p>
    <w:p>
      <w:pPr>
        <w:pStyle w:val="FootnoteText"/>
      </w:pPr>
      <w:r>
        <w:rPr>
          <w:rtl w:val="0"/>
          <w:lang w:val="fa-IR"/>
        </w:rPr>
        <w:t xml:space="preserve">ترجمه: «قاسم صيقل گويد: طى نامه‌اى به امام رضا عليه‌السّلام نوشتم: من از پوست الاغ‌هاى مرده غلاف شمشير مى‌سازم و لباسم آلوده مى‌شود، آيا مى‌توانم در آن لباس نماز بخوانم‌؟!</w:t>
      </w:r>
    </w:p>
    <w:p>
      <w:pPr>
        <w:pStyle w:val="FootnoteText"/>
      </w:pPr>
      <w:r>
        <w:rPr>
          <w:rtl w:val="0"/>
          <w:lang w:val="fa-IR"/>
        </w:rPr>
        <w:t xml:space="preserve">آن حضرت عليه السّلام برايم نوشت: ”براى نمازت لباس ديگرى برگزين.“</w:t>
      </w:r>
    </w:p>
    <w:p>
      <w:pPr>
        <w:pStyle w:val="FootnoteText"/>
      </w:pPr>
      <w:r>
        <w:rPr>
          <w:rtl w:val="0"/>
          <w:lang w:val="fa-IR"/>
        </w:rPr>
        <w:t xml:space="preserve">سپس خدمت امام جواد عليه السّلام نوشتم: خدمت پدرت چنين‌وچنان نوشتم و كار بر من مشكل شد. اكنون آن را از پوست الاغ‌هاى وحشى ـ كه تذكيه شده‌اند ـ مى‌سازم. آن حضرت عليه‌السّلام برايم نوشت: خداوند تو را رحمت كند! اعمال نيك را به صبر واگذار اما اگر آن‌چه را كه مى‌سازى از پوست تذكيه شده الاغ وحشى باشد، اشكالى ندارد. (محقق)</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 همان.</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مصباح الفقيه</w:t>
      </w:r>
      <w:r>
        <w:rPr>
          <w:rtl w:val="0"/>
          <w:lang w:val="fa-IR"/>
        </w:rPr>
        <w:t xml:space="preserve">، ج 8، ص 377.</w:t>
      </w:r>
    </w:p>
  </w:footnote>
  <w:footnote w:id="10">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مصباح الأصول</w:t>
      </w:r>
      <w:r>
        <w:rPr>
          <w:rtl w:val="0"/>
          <w:lang w:val="fa-IR"/>
        </w:rPr>
        <w:t xml:space="preserve">، ج 1، ص 362؛ </w:t>
      </w:r>
      <w:r>
        <w:rPr>
          <w:rtl w:val="0"/>
          <w:lang w:val="fa-IR"/>
        </w:rPr>
        <w:t xml:space="preserve">موسوعة الامام الخوئي</w:t>
      </w:r>
      <w:r>
        <w:rPr>
          <w:rtl w:val="0"/>
          <w:lang w:val="fa-IR"/>
        </w:rPr>
        <w:t xml:space="preserve">، ج 2، ص 450 و 451.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