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Farsi++"/>
      </w:pPr>
      <w:r>
        <w:rPr>
          <w:rtl w:val="0"/>
          <w:lang w:val="fa-IR"/>
        </w:rPr>
        <w:t xml:space="preserve">هو العلیم </w:t>
      </w:r>
    </w:p>
    <w:p>
      <w:pPr>
        <w:pStyle w:val="VasatChinFarsi++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دستور العمل سلوکی علامه طهرانی به یکی از شاگردان خود در خارج از کشور</w:t>
      </w:r>
    </w:p>
    <w:p>
      <w:pPr>
        <w:pStyle w:val="VasatChinFarsi++"/>
      </w:pPr>
      <w:r>
        <w:rPr>
          <w:rtl w:val="0"/>
          <w:lang w:val="fa-IR"/>
        </w:rPr>
        <w:t xml:space="preserve"> </w:t>
      </w:r>
    </w:p>
    <w:p>
      <w:pPr>
        <w:pStyle w:val="VasatChinFarsi++"/>
      </w:pPr>
      <w:r>
        <w:rPr>
          <w:rtl w:val="0"/>
          <w:lang w:val="fa-IR"/>
        </w:rPr>
        <w:t xml:space="preserve">آیة اللَه حاج سید محمد محسن حسینی طهرانی</w:t>
      </w:r>
    </w:p>
    <w:p>
      <w:pPr>
        <w:pStyle w:val="VasatChinFarsi++"/>
      </w:pPr>
      <w:r>
        <w:rPr>
          <w:rtl w:val="0"/>
          <w:lang w:val="fa-IR"/>
        </w:rPr>
        <w:t xml:space="preserve"> </w:t>
      </w:r>
    </w:p>
    <w:p>
      <w:pPr>
        <w:pStyle w:val="VasatChinFarsi++"/>
      </w:pPr>
      <w:r>
        <w:rPr>
          <w:rtl w:val="0"/>
          <w:lang w:val="fa-IR"/>
        </w:rPr>
        <w:t xml:space="preserve">اسرار ملکوت، جلد 2، صفحه 285</w:t>
      </w:r>
    </w:p>
    <w:p>
      <w:pPr/>
      <w:r>
        <w:br w:type="page"/>
      </w:r>
    </w:p>
    <w:p>
      <w:pPr/>
      <w:r>
        <w:rPr>
          <w:rtl w:val="0"/>
          <w:lang w:val="fa-IR"/>
        </w:rPr>
        <w:t xml:space="preserve">مرحوم علامه طهرانی رضوان اللَه علیه می فرمودند:ادعای حرکت بسوی عالم قدس بدون رعایت مراقبه و اهتمام به شرایط و لوازم سلوک خیالی بیش نخواهد بود. این دستور العمل برای سالکین الی اللَه میباشد و اگر چه برای یکی از ارادتمندان در خارج از کشور ارسال شده است ، ولکن جنبه خصوصی نداشته ، انجام آن برای عموم بلامانع است.</w:t>
      </w:r>
    </w:p>
    <w:p>
      <w:pPr>
        <w:pStyle w:val="VasatChinArabi++"/>
      </w:pPr>
      <w:r>
        <w:rPr>
          <w:rtl w:val="0"/>
          <w:lang w:val="fa-IR"/>
        </w:rPr>
        <w:t xml:space="preserve">بسم اللَه الرّحمن الرّحیم</w:t>
      </w:r>
    </w:p>
    <w:p>
      <w:pPr>
        <w:pStyle w:val="NormalA++"/>
      </w:pPr>
      <w:r>
        <w:rPr>
          <w:rtl/>
          <w:lang w:val="fa-IR"/>
        </w:rPr>
        <w:t xml:space="preserve">السّلام علیكم و رحمة‌ُ اللَه و برَكاته، نامه گرامی واصل و از مضمون آن اطّلاع حاصل؛ بزرگان طریق فرموده‌اند: برای پیمودن راه یك توبه كامل ضروری است (غسل، دو ركعت نماز، یكصد بار استغفار، بیرون آمدن از جمیع حقوق النّاس و مظالم عباد، و قضاء فوائت من حقوق اللَه تعالی). و دیگر: پیوسته ملازم سكوت بودن و غذا بموقع و به اندازه خوردن و از حیوانی كمتر مصروف نمودن و با بسم اللَه شروع كردن و در صورت امكان سه روز در ماه روزه داشتن. و قبل از اذان صبح بیدار شدن و بین الطّلوعین را بیدار ماندن و در این حال نماز شب و نافله صبح و نماز صبح، و سپس هر روز حدّاقلّ یك حزب قرآن، ثواب آن هدیه به روح رسول اكرم صلّی اللَه علیه و آله و سلّم نمودن. و در یك اربعین هر روز هزار بار </w:t>
      </w:r>
      <w:r>
        <w:rPr>
          <w:rtl w:val="0"/>
          <w:lang w:val="fa-IR"/>
        </w:rPr>
        <w:t xml:space="preserve">أستغفر اللَه رّبی</w:t>
      </w:r>
      <w:r>
        <w:rPr>
          <w:rtl w:val="0"/>
          <w:lang w:val="fa-IR"/>
        </w:rPr>
        <w:t xml:space="preserve"> گفتن با شرائط ذكر (طهارت بدن و لباس، و وضو، و مكان خلوت، و استعمال عطر و بخور، و رو به قبله نشستن چهار زانو، و انگشتری عقیق در دست راست نمودن، و توجّه كامل به معنای ذكر كردن) و سپس به سجده درآمدن و حدّاقل چهارصد مرتبه </w:t>
      </w:r>
      <w:r>
        <w:rPr>
          <w:rStyle w:val="Ayat2Matn++"/>
          <w:rtl w:val="0"/>
          <w:lang w:val="fa-IR"/>
        </w:rPr>
        <w:t xml:space="preserve">﴿لَّآ إِلَٰهَ إِلَّآ أَنتَ سُبۡحَٰنَكَ إِنِّي كُنتُ مِنَ ٱلظَّٰلِمِينَ﴾</w:t>
      </w:r>
      <w:r>
        <w:rPr>
          <w:rStyle w:val="FootnoteReference"/>
        </w:rPr>
        <w:footnoteReference w:id="1"/>
      </w:r>
      <w:r>
        <w:rPr>
          <w:rtl w:val="0"/>
          <w:lang w:val="fa-IR"/>
        </w:rPr>
        <w:t xml:space="preserve"> گفتن. و پس از آن نشستن و با خدای تعالی شرط عدم معصیت در روز نمودن (مشارطه) و در طول روز مراقب نفس بودن (مراقبه) و هنگام خواب محاسبه كردن (محاسبه) و از مجالس و محافل دنیاپرستان دوری نمودن و با ابناء دنیا نشست و برخاست نكردن، و پیوسته متفكّر در درون بودن، و طهارت دائم (دوام وضو و غسل جمعه) و خواندن نمازها را در اوّل وقت و بجا آوردن نوافل در صورت امكان، و اجتناب از معصیت بطور اتمّ و اكمل، و استعمال عطر و انگشتری در حال صلوات، و خضوع و حضور قلب را در حال نماز رعایت كردن، و شبها با وضو بخواب رفتن و در بستر طاهر رو به قبله خسبیدن، و به شوق دیدار خدا خوابیدن و سه بار سوره توحید و آیة الكرسی</w:t>
      </w:r>
      <w:r>
        <w:rPr>
          <w:rStyle w:val="FootnoteReference"/>
        </w:rPr>
        <w:footnoteReference w:id="2"/>
      </w:r>
      <w:r>
        <w:rPr>
          <w:rtl w:val="0"/>
          <w:lang w:val="fa-IR"/>
        </w:rPr>
        <w:t xml:space="preserve"> و آیه </w:t>
      </w:r>
      <w:r>
        <w:rPr>
          <w:rStyle w:val="Ayat2Matn++"/>
          <w:rtl w:val="0"/>
          <w:lang w:val="fa-IR"/>
        </w:rPr>
        <w:t xml:space="preserve">﴿لو أنزلنا هذا القرآن﴾</w:t>
      </w:r>
      <w:r>
        <w:rPr>
          <w:rStyle w:val="FootnoteReference"/>
        </w:rPr>
        <w:footnoteReference w:id="3"/>
      </w:r>
      <w:r>
        <w:rPr>
          <w:rtl w:val="0"/>
          <w:lang w:val="fa-IR"/>
        </w:rPr>
        <w:t xml:space="preserve"> و آیه </w:t>
      </w:r>
      <w:r>
        <w:rPr>
          <w:rStyle w:val="Ayat2Matn++"/>
          <w:rtl w:val="0"/>
          <w:lang w:val="fa-IR"/>
        </w:rPr>
        <w:t xml:space="preserve">﴿قُل إنَّما أنا بشر مثلكم﴾</w:t>
      </w:r>
      <w:r>
        <w:rPr>
          <w:rStyle w:val="FootnoteReference"/>
        </w:rPr>
        <w:footnoteReference w:id="4"/>
      </w:r>
      <w:r>
        <w:rPr>
          <w:rtl w:val="0"/>
          <w:lang w:val="fa-IR"/>
        </w:rPr>
        <w:t xml:space="preserve"> و آیه </w:t>
      </w:r>
      <w:r>
        <w:rPr>
          <w:rStyle w:val="Ayat2Matn++"/>
          <w:rtl w:val="0"/>
          <w:lang w:val="fa-IR"/>
        </w:rPr>
        <w:t xml:space="preserve">﴿شهد اللَه﴾</w:t>
      </w:r>
      <w:r>
        <w:rPr>
          <w:rtl w:val="0"/>
          <w:lang w:val="fa-IR"/>
        </w:rPr>
        <w:t xml:space="preserve"> را خواندن، و یك دوره تسبیح حضرت زهراء را بجا آوردن، آنگاه </w:t>
      </w:r>
      <w:r>
        <w:rPr>
          <w:rtl w:val="0"/>
          <w:lang w:val="fa-IR"/>
        </w:rPr>
        <w:t xml:space="preserve">لا إله‌ إلا‌ اللَه</w:t>
      </w:r>
      <w:r>
        <w:rPr>
          <w:rtl w:val="0"/>
          <w:lang w:val="fa-IR"/>
        </w:rPr>
        <w:t xml:space="preserve"> را بگوید تا خوابش ببرد؛ به عشق خدا بخوابد و به عشق خدا برخیزد. در اربعین دوّم و سوّم به همین منوال جلو برود به استثناء آنكه بجای هزار بار استغفار، هزار بار </w:t>
      </w:r>
      <w:r>
        <w:rPr>
          <w:rtl w:val="0"/>
          <w:lang w:val="fa-IR"/>
        </w:rPr>
        <w:t xml:space="preserve">لا إله‌ إلا اللَه </w:t>
      </w:r>
      <w:r>
        <w:rPr>
          <w:rtl w:val="0"/>
          <w:lang w:val="fa-IR"/>
        </w:rPr>
        <w:t xml:space="preserve">بگوید. و در پاك نمودن ذهن از ورود خاطرات در حال نماز، و ذكر و تفكّر سعی بلیغ نماید. إن ‌شاء اللَه تعالی خداوند مرحمت فرموده مشتاقان دیدار جمالش را به كعبه مقصود میرساند. عمده عامل سیر در راه مجاهده نفسانی است و اجتناب از منهیات، تا بحول و قوّه خدا جمال محبوب ازلی پرده گشاید و با بارقه جلال سرمدی خرمن هستی را بسوزاند و از خودی و خودیت چیزی را باقی نگذارد.از خداوند متعال خواستارم كه همه ما را موفّق به رضای خودش بفرماید و گامهایمان را در طی طریق بسوی كعبه جمال و جلالش استوار بدارد؛ </w:t>
      </w:r>
    </w:p>
    <w:p>
      <w:pPr>
        <w:pStyle w:val="NormalA++"/>
      </w:pPr>
      <w:r>
        <w:rPr>
          <w:rtl w:val="0"/>
          <w:lang w:val="fa-IR"/>
        </w:rPr>
        <w:t xml:space="preserve">بمُحمّدٍ و آلِه الطّاهرین، صلّ علَی محمّد و آله أجمَعین</w:t>
      </w:r>
      <w:r>
        <w:rPr>
          <w:rtl w:val="0"/>
          <w:lang w:val="fa-IR"/>
        </w:rPr>
        <w:t xml:space="preserve">.</w:t>
      </w:r>
      <w:r>
        <w:rPr>
          <w:rStyle w:val="FootnoteReference"/>
        </w:rPr>
        <w:footnoteReference w:id="5"/>
      </w:r>
    </w:p>
    <w:p>
      <w:pPr/>
      <w:r>
        <w:rPr>
          <w:rtl w:val="0"/>
          <w:lang w:val="fa-IR"/>
        </w:rPr>
        <w:t xml:space="preserve">سید محمّد حسین حسینی طهرانی</w:t>
      </w:r>
    </w:p>
    <w:p>
      <w:pPr/>
      <w:r>
        <w:rPr>
          <w:rtl w:val="0"/>
          <w:lang w:val="fa-IR"/>
        </w:rPr>
        <w:t xml:space="preserve">مشهد مقدّس ـ ٤ محرّم/١٤١١، هجریه قمریه</w:t>
      </w:r>
    </w:p>
    <w:sectPr w:rsidSect="006A46D0">
      <w:footerReference w:type="even" r:id="rId5"/>
      <w:footerReference w:type="default" r:id="rId6"/>
      <w:footerReference w:type="first" r:id="rId7"/>
      <w:footnotePr>
        <w:pos w:val="pageBottom"/>
        <w:numFmt w:val="decimal"/>
        <w:numRestart w:val="eachPage"/>
      </w:footnotePr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44" name="_x0000_i0044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44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mc="http://schemas.openxmlformats.org/markup-compatibility/2006" xmlns:w="http://schemas.openxmlformats.org/wordprocessingml/2006/main">
  <w:footnote w:type="separator" w:id="-1">
    <w:p>
      <w:pPr>
        <w:ind w:firstLine="0"/>
        <w:rPr/>
      </w:pPr>
      <w:r>
        <w:separator/>
      </w:r>
    </w:p>
  </w:footnote>
  <w:footnote w:type="continuationSeparator" w:id="0">
    <w:p>
      <w:pPr>
        <w:ind w:firstLine="0"/>
        <w:rPr/>
      </w:pPr>
      <w:r>
        <w:separator/>
      </w:r>
    </w:p>
  </w:footnote>
  <w:footnote w:id="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سوره الأنبیآء (٢١) ذیل آیه ٨٧</w:t>
      </w:r>
    </w:p>
  </w:footnote>
  <w:footnote w:id="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سوره البقرة (٢) آیات ٢٥٥ الی ٢٥٧</w:t>
      </w:r>
    </w:p>
  </w:footnote>
  <w:footnote w:id="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سوره الحشر (٥٩) آیات ٢١ الی ٢٤</w:t>
      </w:r>
    </w:p>
  </w:footnote>
  <w:footnote w:id="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سوره الكهف (١٨) آیه١١٠</w:t>
      </w:r>
    </w:p>
  </w:footnote>
  <w:footnote w:id="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أسرار ملکوت ج ٢ صفحه ٢٨٥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footnotePr>
    <w:pos w:val="pageBottom"/>
    <w:numFmt w:val="decimal"/>
    <w:numRestart w:val="eachPage"/>
    <w:footnote w:id="-1"/>
    <w:footnote w:id="0"/>
  </w:footnotePr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webSettings" Target="webSettings.xml" /><Relationship Id="rId11" Type="http://schemas.openxmlformats.org/officeDocument/2006/relationships/numbering" Target="numbering.xml" /><Relationship Id="rId12" Type="http://schemas.openxmlformats.org/officeDocument/2006/relationships/fontTable" Target="fontTable.xml" /><Relationship Id="rId13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notes" Target="footnotes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