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مجلس دوّم</w:t>
      </w:r>
    </w:p>
    <w:p>
      <w:pPr>
        <w:pStyle w:val="VasatChinFarsi++"/>
      </w:pPr>
      <w:r>
        <w:rPr>
          <w:rtl w:val="0"/>
          <w:lang w:val="fa-IR"/>
        </w:rPr>
        <w:t xml:space="preserve">بیان قسمتی از رسالۀ حقوق امام سجاد علیه السّلام</w:t>
      </w:r>
    </w:p>
    <w:p>
      <w:pPr>
        <w:pStyle w:val="VasatChinFarsi++"/>
      </w:pPr>
      <w:r>
        <w:rPr>
          <w:rtl w:val="0"/>
          <w:lang w:val="fa-IR"/>
        </w:rPr>
        <w:t xml:space="preserve"> طهران، مسجد قائم، رمضان المبارک ١٣٩٨ هجری قمری</w:t>
      </w:r>
    </w:p>
    <w:p>
      <w:pPr>
        <w:pStyle w:val="VasatChinFarsi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أعوذ باللَه من الشَّیطانِ الرَّجیم‌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الرّحمٰن الرّحیم‌</w:t>
      </w:r>
    </w:p>
    <w:p>
      <w:pPr>
        <w:pStyle w:val="VasatChinArabi++"/>
      </w:pPr>
      <w:r>
        <w:rPr>
          <w:rtl w:val="0"/>
          <w:lang w:val="fa-IR"/>
        </w:rPr>
        <w:t xml:space="preserve">و صلّی اللَه علیٰ محمّدٍ و آلهِ الطّاهرین‌</w:t>
      </w:r>
    </w:p>
    <w:p>
      <w:pPr>
        <w:pStyle w:val="VasatChinArabi++"/>
      </w:pPr>
      <w:r>
        <w:rPr>
          <w:rtl w:val="0"/>
          <w:lang w:val="fa-IR"/>
        </w:rPr>
        <w:t xml:space="preserve">و لعنةُ اللَه علیٰ أعدائِهم أجمعین‌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حقّ شریک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الشّریک: فإن غابَ کفَیتَه و إن حضَر رعَیتَه، و لا تَحکُمَ دونَ حکمِه و لا تَعمَلَ برَأیک دونَ مُناظرَتِه، و تَحفَظَ علیه مِن مالِه، و لا تَخونَه فیما عَزَّ أو هانَ مِن أمرِه، فإنّ یدَ اللَه عزّوجلّ مع الشّریکَینِ ما لم یَتخاوَنا، و لا قُوّةَ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شریک تو این است که اگر غیبت کند تو امور او را کفایت کنی، و اگر حاضر باشد جانب او را مراعات کنی، و بدون حکمِ او حکمی نکنی، و در شرکت بدون اینکه با او گفتگو و مناظره‌ای کرده باشی، تنها به رأی خود عمل نکنی، و مال او را حفظ کنی؛ و در اموری که بزرگ یا کوچک باشد خیانتی به او نکنی، چون دست خداوند عزّوجلّ با شریکَین است تا هنگامی که خیانت نکنند، </w:t>
      </w:r>
      <w:r>
        <w:rPr>
          <w:rtl w:val="0"/>
          <w:lang w:val="fa-IR"/>
        </w:rPr>
        <w:t xml:space="preserve">و لا قوّةَ إلّا باللَه</w:t>
      </w:r>
      <w:r>
        <w:rPr>
          <w:rtl w:val="0"/>
          <w:lang w:val="fa-IR"/>
        </w:rPr>
        <w:t xml:space="preserve">.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مال و دارایی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حقُّ مالِکَ: فأَن لا تأخُذَه إلّا مِن حِلِّه و لا تُنفِقَه إلّا فی وجهِه، و لا تُؤثِرَ علیٰ نفْسِک مَن لا یحمَدک، فاعمَل فیه بطاعَةِ ربِّک و لا تَبخَل فیه فتَبوءَ بالحسرة و النَّدامَة مع التَّبِعة،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حقّی که مال تو بر تو دارد این است که آن مال را به‌دست نیاوری مگر از راه حلال، و خرج نکنی مگر در آنجایی که باید خرج کرد؛ و آن مال را به افرادی ندهی که از آن مال استفاده کنند و تو را بر اعطای آن مال حمد و ستایش نکنند (زحمت کشیده‌ای و مالی به‌دست آورده‌ای و برای افرادی گذاشته‌ای که آن را مصرف می‌کنند ولی برای تو حتّی از تشکّر و حمد هم خودداری می‌کنند)؛ در آن مال، به طاعتِ پروردگار خودت عمل کن و در انفاق بخل مَوَرز که عاقبتش حسرت و ندامت و عقاب خواهد بود، </w:t>
      </w:r>
      <w:r>
        <w:rPr>
          <w:rtl w:val="0"/>
          <w:lang w:val="fa-IR"/>
        </w:rPr>
        <w:t xml:space="preserve">و لا قوّة إلّا باللَه.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طلب‌کار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غریمک الّذی یُطالبک: فإن کنتَ موسِرًا أعطَیتَه، و إن کنتَ مُعسِرًا أرضَیتَه بحُسنِ القول و ردَدتَه عن نفسِک ردًّا لطیفًا.»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طلب‌کارت (آن کسی که از تو مطالبه می‌کند و دَین خود را می‌خواهد) این است که اگر می‌توانی دَینش را بپردازی باید دَین او را بدهی، و اگر نمی‌توانی و مُعسِری و در عسر و حرج زندگی می‌کنی و قادر بر ادا</w:t>
      </w:r>
      <w:r>
        <w:rPr>
          <w:rtl w:val="0"/>
          <w:lang w:val="fa-IR"/>
        </w:rPr>
        <w:t xml:space="preserve">ءِ</w:t>
      </w:r>
      <w:r>
        <w:rPr>
          <w:rtl w:val="0"/>
          <w:lang w:val="fa-IR"/>
        </w:rPr>
        <w:t xml:space="preserve"> دَین خود نیستی، آن غریم و طلب‌کار خود را به حُسن قول راضی کن و طلب او را از خود بگردان به گردانیدنِ لطیفی که از تو نرنجد و صبر کند تا هنگامی که تو بتوانی طلب او را اداء کنی.“</w:t>
      </w:r>
    </w:p>
    <w:p>
      <w:pPr>
        <w:pStyle w:val="Heading2"/>
      </w:pPr>
      <w:r>
        <w:rPr>
          <w:rtl w:val="0"/>
          <w:lang w:val="fa-IR"/>
        </w:rPr>
        <w:t xml:space="preserve">حقّ رفیق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الخلیطِ: أن لا تَغُرَّه و لا تَغُشَّه و لا تَخدَعَه و تَتَّقی اللَه تبارک و تعالیٰ فی أمرِه.»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امر رفقا و دوستان و افرادی که با تو مخالطه و معاشرت دارند، این است که آنها را گول نزنی، مغرور نکنی، با آنها غِشّ نکنی، مکر و حیله نکنی و از خدای علیّ أعلیٰ در امر آنها بپرهیزی.“</w:t>
      </w:r>
    </w:p>
    <w:p>
      <w:pPr>
        <w:pStyle w:val="Heading2"/>
      </w:pPr>
      <w:r>
        <w:rPr>
          <w:rtl w:val="0"/>
          <w:lang w:val="fa-IR"/>
        </w:rPr>
        <w:t xml:space="preserve">حقّ مدّعی و مدّعیٰ‌علیه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الخصمِ المدَّعی علیک: فإن کان ما یدَّعی علیک حقًّا کنتَ شاهِدَه علیٰ نفسِک و لم تَظلمه و أَوفَیتَه حقَّه، و إن کان ما یدَّعی علیک باطلًا رفَقتَ به و لا تَأتِ فی أمره غیرَ الرِّفقِ و لا تُسخِط ربَّک فی أمره،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آن کسی که ادّعایی بر تو دارد (و در خصومت و دعوایی که نزد حاکم شرعی می‌روید، ادّعایی علیه تو دارد و حقّی از تو طلب می‌کند): اگر آنچه از تو ادّعا می‌کند، حقّ است (چون خودت</w:t>
      </w:r>
      <w:r>
        <w:rPr>
          <w:rtl w:val="0"/>
          <w:lang w:val="fa-IR"/>
        </w:rPr>
        <w:t xml:space="preserve"> فیما بَینک و بَین اللَه</w:t>
      </w:r>
      <w:r>
        <w:rPr>
          <w:rtl w:val="0"/>
          <w:lang w:val="fa-IR"/>
        </w:rPr>
        <w:t xml:space="preserve"> می‌دانی آن ادّعایی که بر تو دارد، حقّ است) بنابراین در این موضوع، خودت شاهد و گواه بر خودت هستی، و مبادا به او ظلم کنی، و حقّ او را وفا کن! و اگر آنچه بر تو ادّعا می‌کند باطل است، با او به رِفق رفتار کن و غیر از رفق با او رفتار مکن (و جملات زشت و زننده‌ای از تو سر نزند) و خدای خود را در امری که راجع به او است، از خود مرنجان، </w:t>
      </w:r>
      <w:r>
        <w:rPr>
          <w:rtl w:val="0"/>
          <w:lang w:val="fa-IR"/>
        </w:rPr>
        <w:t xml:space="preserve">و لا قوّة إلّا باللَه</w:t>
      </w:r>
      <w:r>
        <w:rPr>
          <w:rtl w:val="0"/>
          <w:lang w:val="fa-IR"/>
        </w:rPr>
        <w:t xml:space="preserve">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خَصمِک الّذی تدَّعی علیه: فإن کنتَ مُحِقًّا فی دعواک أجمَلتَ معامَلَتَه و لا تَجحَد حقَّه، و إن کنتَ مُبطلًا فی دعواک اتَّقَیتَ اللَه عزّوجلّ و تُبتَ إلیه و ترَکتَ الدَّعویٰ.»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آن خصم و مخاصمی که تو علیه او ادّعا داری (و مال یا حقّی از او طلب داری و او منکر است و برای فصل خصومت پیش حاکم شرع می‌روید) این است که اگر تو در این دعوا مُحِقّ هستی، با او به‌طور جمیل رفتار کن و با او با الفاظ زشت و زننده و بد، رفتار مکن و در مرافعه فقط ادّعای حقّ خود را بکن و حقّ خود را بگیر و حقّ او را انکار مکن؛ و اگر تو در دعوای خود مُبطل هستی و دعوایت صحیح نیست، در این‌صورت از خدای عزّوجلّ بپرهیز و توبه کن و ترک دعوا کن.“</w:t>
      </w:r>
    </w:p>
    <w:p>
      <w:pPr>
        <w:pStyle w:val="Heading2"/>
      </w:pPr>
      <w:r>
        <w:rPr>
          <w:rtl w:val="0"/>
          <w:lang w:val="fa-IR"/>
        </w:rPr>
        <w:t xml:space="preserve">حقّ مشورت‌گیرنده و مشورت‌دهنده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أمّا حقُّ المُستشیر: إن علِمتَ له رأیًا حَسنًا أَشَرتَ علیه، و إن لم تَعلم أَرشَدتَه إلیٰ من یَعلم.»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آن کسی که در امری از امور با تو مشورت می‌کند، این است که اگر رأی خود را رأی خوبی می‌بینی، به او اشاره کنی و آنچه واقعاً </w:t>
      </w:r>
      <w:r>
        <w:rPr>
          <w:rtl w:val="0"/>
          <w:lang w:val="fa-IR"/>
        </w:rPr>
        <w:t xml:space="preserve">فیما بَینک و بَین اللَه</w:t>
      </w:r>
      <w:r>
        <w:rPr>
          <w:rtl w:val="0"/>
          <w:lang w:val="fa-IR"/>
        </w:rPr>
        <w:t xml:space="preserve"> دربارۀ او می‌پسندی به او بگویی؛ و اگر فکرت نمی‌رسد و صلاح او را نمی‌فهمی، او را به کسی که می‌داند ارشاد و هدایت کن و در مقابل استشارۀ او نفهمیده و نسنجیده رأی نده.“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المُشیرِ علیک: أن لا تَتَّهمَه فیما لا یوافِقک مِن رأیه، و إن وافَقَک حَمِدتَ اللَه عزّوجلّ.»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مشیر (یعنی رأی‌دهنده و کسی که با او مشورت می‌کنی، که او مشیر می‌شود و تو مستشیر) بر تو این است که در آن رأیی که می‌دهد اگر موافق رأی تو نبود، او را متّهم نکنی و نگویی در این ارشاد و مشورتی که من با او کردم، غرضی داشت و چنین رأیی داد؛ و اگر هم رأی تو با رأی او موافق بود، حمد خدا را بجا بیاوری.“</w:t>
      </w:r>
    </w:p>
    <w:p>
      <w:pPr>
        <w:pStyle w:val="Heading2"/>
      </w:pPr>
      <w:r>
        <w:rPr>
          <w:rtl w:val="0"/>
          <w:lang w:val="fa-IR"/>
        </w:rPr>
        <w:t xml:space="preserve">حقّ طالب نصیحت و نصیحت‌کننده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المُستَنصِح: أن تُؤدّیَ إلیه النَّصیحةَ، و لْیَکُن مذهبُک الرّحمةَ و الرِّفقَ به.»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کسی که در امری از تو طلب پند و اندرز و نصیحت و راهنمایی می‌کند، این است که آن نصیحت واقعی را که به فکرت می‌رسد به او بگویی؛ و در هنگام نصیحت، مطلب را با رحمت و رفق به او بفهمانی، نه با خشونت و زنندگی.“ «و حقُّ النّاصح: أن تُلینَ له جناحَک و تُصغِی إلیه بسَمعِک، فإن أتیٰ بالصّواب حَمِدتَ اللَه عزّوجلّ، و إن لم یوَفَّق رَحِمتَه و لم تَتَّهِمه و عَلمتَ أنَّه أخطَأَ و لم تُؤاخذه بذلک إلّا أن یکونَ مُستَحقًّا للتُّهَمَة فلا تَعبَأ بشی‌ءٍ من أمره علیٰ حالٍ؛ و لا قوّةَ إلّا باللَه.»</w:t>
      </w:r>
    </w:p>
    <w:p>
      <w:pPr>
        <w:pStyle w:val="NormalA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آن کسی که تو را نصیحت می‌کند این است که بال‌های رحمت خود را برای او پایین بیاوری و با حالت رفق و مدارا نصیحت او را گوش کنی؛ اگر آن نصیحتی که به تو می‌کند صواب و راست است، حمد خدای عزّوجلّ را بجا آوری، و اگر موافقِ صواب نیست، با آن ناصح به مدارا و ملایمت رفتار کنی و او را در این نصیحت متّهم نکنی که خدای نا کرده غرض سوئی داشته است، و باید بنا بگذاری که او خطا کرده است و تو با او مؤاخذه و ایراد نکنی مگر اینکه زمینه، زمینۀ تهمت باشد (تهمت یعنی زمینه‌ای پیش آمده است که آن ناصح در نصیحتی که به تو می‌کند، متّهم است و روی غرضی این نصیحت را می‌کند که بر ضرر توست)، در این‌صورت به قول او اعتنا نکن و دنبال کار خود باش؛ </w:t>
      </w:r>
      <w:r>
        <w:rPr>
          <w:rtl w:val="0"/>
          <w:lang w:val="fa-IR"/>
        </w:rPr>
        <w:t xml:space="preserve">و لا قوّة إلّا باللَه!“</w:t>
      </w:r>
    </w:p>
    <w:p>
      <w:pPr>
        <w:pStyle w:val="Heading2"/>
      </w:pPr>
      <w:r>
        <w:rPr>
          <w:rtl w:val="0"/>
          <w:lang w:val="fa-IR"/>
        </w:rPr>
        <w:t xml:space="preserve">حقّ افراد مسن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الکبیر: تَوقیرُه لشَیبه و إجلالُه لتَقدُّمِه إلَی الإسلام قبلک، و ترکُ مُقابلتِه عند الخصام، و لا تَسبِقه إلیٰ طریقٍ و لا تَتقدَّمه، و لا تَستَجهله، و إن جهِل علیک احتَملتَه و أکرَمتَه لحقِّ الإسلام و حرمتِه.»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افراد بزرگ و کبیر و افرادی که سنّشان زیاد است این است که آنها را به جهت پیری و تقدّمی که در اسلام بر تو دارند، موَقَّر و محترم بشماری و إجلال و بزرگداشت بنمایی؛ و مبادا هنگام دعوا و اختلاف آراء، با آنها مقابله و گفتگو کنی؛ و در راه رفتن از آنها سبقت نگیر و جلوی آنها قدم مگذار و خودت در راه رفتن یا در صحبت کردن جلوی آنها، مقدّم نشو؛ و به آنها نسبت جهل و نفهمی نده، و اگر آنها تو را جاهل می‌دانند و نسبت جهل می‌دهند، به جهت حقّ اسلامی که دارند و به جهت حُرمت آنها تحمّل کن و آنها را بزرگ بشمار.“</w:t>
      </w:r>
    </w:p>
    <w:p>
      <w:pPr>
        <w:pStyle w:val="Heading2"/>
      </w:pPr>
      <w:r>
        <w:rPr>
          <w:rtl w:val="0"/>
          <w:lang w:val="fa-IR"/>
        </w:rPr>
        <w:t xml:space="preserve">حقّ اطفال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الصّغیر: رحمتُه فی تعلیمِه و العفوُ عنه و السَّترُ علیه و الرِّفقُ به و المَعونةُ له.»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کوچکان و اطفال این است که در تعلیم و تربیت، با آنها به طریق رحمت رفتار بنمایی و از خطاهای آنها بگذری و روی عیوب آنها را بپوشانی و با آنها به رفق و مدارا رفتار کنی و در کارها به آنها کمک کنی.“</w:t>
      </w:r>
    </w:p>
    <w:p>
      <w:pPr>
        <w:pStyle w:val="Heading2"/>
      </w:pPr>
      <w:r>
        <w:rPr>
          <w:rtl w:val="0"/>
          <w:lang w:val="fa-IR"/>
        </w:rPr>
        <w:t xml:space="preserve">حقّ حاجتمند و معطی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السّائل: إعطاؤُه علیٰ قدر حاجتِه.»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حقّ کسی که حاجتمند و سائل است، این است: بر مقداری که حاجت دارد به او إعطا کنی.“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المسئول: أنّه إن أعطیٰ فاقبَل منه الشُّکرَ و المعرفةَ بفضلِه، و إن منَع فاقبَل عذرَه.»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”(و اگر از کسی سؤالی کردی و حاجتی داشتی) حقّ آن کسی که مسئول است، بر تو این است که اگر حاجت تو را بر آورد و به تو عنایت کرد، از او با شُکر بپذیری و به فضل و بزرگواری او اعتراف کنی؛ و اگر تو را منع کرد و حاجت تو را بر نیاورد، عذر او را بپذیری.“</w:t>
      </w:r>
    </w:p>
    <w:p>
      <w:pPr>
        <w:pStyle w:val="Heading2"/>
      </w:pPr>
      <w:r>
        <w:rPr>
          <w:rtl w:val="0"/>
          <w:lang w:val="fa-IR"/>
        </w:rPr>
        <w:t xml:space="preserve">حقّ خوشحال‌کننده برای رضای الهی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من سرَّک بشی‌ءٍ لِلَّه تعالیٰ: أن تحمدَ اللَه عزّوجلّ أوّلًا ثُمّ تشکرَه.»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کسی که تو را برای رضای خدا، به چیزی خوشحال می‌کند (تو را شاد و مسرور می‌کند و منظورش قربت است) این است که اوّلاً حمد خدای عزّوجلّ را بجا بیاوری و سپس از او تشکّر کنی.“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>
        <w:pStyle w:val="Heading2"/>
      </w:pPr>
      <w:r>
        <w:rPr>
          <w:rtl w:val="0"/>
          <w:lang w:val="fa-IR"/>
        </w:rPr>
        <w:t xml:space="preserve">حقّ بدی‌کننده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Style w:val="RevayatArabi++"/>
          <w:rtl w:val="0"/>
          <w:lang w:val="fa-IR"/>
        </w:rPr>
        <w:t xml:space="preserve">«و حقُّ من ساءَک: أن تَعفُوَ عنه، و إن علمتَ أنَّ العفوَ یضُرُّ انتَصَرتَ، قال اللَه تبارک و تعالیٰ: </w:t>
      </w:r>
      <w:r>
        <w:rPr>
          <w:rStyle w:val="Ayat2Matn++"/>
          <w:rtl w:val="0"/>
          <w:lang w:val="fa-IR"/>
        </w:rPr>
        <w:t xml:space="preserve">﴿وَلَمَنِ ٱنتَصَرَ بَعۡدَ ظُلۡمِهِۦ فَأُوْلَـٰٓئِكَ مَا عَلَيۡهِم مِّن سَبِيلٍ﴾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  <w:r>
        <w:rPr>
          <w:rStyle w:val="RevayatArabi++"/>
          <w:rtl w:val="0"/>
          <w:lang w:val="fa-IR"/>
        </w:rPr>
        <w:t xml:space="preserve">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”حقّ کسی که به تو بدی می‌رساند این است که او را عفو کنی؛ و اگر می‌دانی که عفو کردن در این زمینه ضرر دارد، انتصار کنی و حقّ خود را از او بگیری (و او را برای آن بدی که به تو کرده است، تنبیه کنی)؛ خداوند تبارک و تعالیٰ می‌فرماید: </w:t>
      </w:r>
      <w:r>
        <w:rPr>
          <w:rStyle w:val="Ayat2Matn++"/>
          <w:rtl w:val="0"/>
          <w:lang w:val="fa-IR"/>
        </w:rPr>
        <w:t xml:space="preserve">﴿آن كساني كه بعد از ظلمي كه به آنها شده است انتصار مي‌كنند و حقّ خود را مي‌خواهند بگيرند، بر آنها باكي و اشكالي نيست و آنها مي‌توانند حق خود را بگيرند.﴾</w:t>
      </w:r>
      <w:r>
        <w:rPr>
          <w:rtl w:val="0"/>
          <w:lang w:val="fa-IR"/>
        </w:rPr>
        <w:t xml:space="preserve">“</w:t>
      </w:r>
    </w:p>
    <w:p>
      <w:pPr>
        <w:pStyle w:val="Heading2"/>
      </w:pPr>
      <w:r>
        <w:rPr>
          <w:rtl w:val="0"/>
          <w:lang w:val="fa-IR"/>
        </w:rPr>
        <w:t xml:space="preserve">حقّ مسلمانان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«و حقُّ أهل مِلَّتک: إضمارُ السّلامة لهم، و الرّحمةُ بهم، و الرِّفقُ بمُسیئِهم، و تَألُّفُهم، و استصلاحُهم، و شکرُ مُحسنِهم، و کفُّ الأذیٰ عنهم، و أن تُحبَّ لهم ما تُحبُّ لنفْسک و تکرَه لهم ما تَکرَه لنفسک، و أن یکونَ شیوخُهم بمنزلةِ أبیک و شُبّانُهم بمنزلة أخیک و عجائزُهم بمنزلة أمِّک و الصِّغار بمنزلة أولادک.»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اهل ملّت خود (یعنی مسلمانان که در ملّت و آیین با انسان شریک‌اند؛ حقّ اهل ملّت خود و حقّ مسلمانانی که با آنها در تماس هستی و یا نیستی) این است که برای آنها در دل خودت سلامت و عافیت طلب کنی و به آنها رحمت کنی؛ و به آن افرادی که به تو إسائه می‌کنند و بدی می‌رسانند، رفق و مدارا کنی؛ و با آنها به الفت و محبّت معاشرت کنی و کارهای آنها را اصلاح کنی؛ و افرادی از آنها که به تو احسان می‌کنند، شکر آنها را بجا بیاوری و گرفتاری و مذلّت و اذیّت را از آنها برداری و مگذاری که آزار و اذیّت تو به آنها برسد؛ و برای آنها بپسندی آنچه برای خودت می‌پسندی، و برای آنها مکروه و ناگوار بداری آنچه برای نفس خودت مکروه می‌داری؛ و دیگر اینکه پیرمردها و شیوخ آنها را به منزلۀ پدر خود، و جوانان آنها را به منزلۀ برادر خود، و زن‌های پیر آنها را به منزلۀ مادر خود، و کودکان و صغار آنها را به منزلۀ اولاد خود بدانی و تلقّی کنی.“</w:t>
      </w:r>
    </w:p>
    <w:p>
      <w:pPr>
        <w:pStyle w:val="Heading2"/>
      </w:pPr>
      <w:r>
        <w:rPr>
          <w:rtl w:val="0"/>
          <w:lang w:val="fa-IR"/>
        </w:rPr>
        <w:t xml:space="preserve">حقّ اهل‌کتاب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Style w:val="RevayatArabi++"/>
          <w:rtl w:val="0"/>
          <w:lang w:val="fa-IR"/>
        </w:rPr>
        <w:t xml:space="preserve">«و حقُّ أهل الذِّمّة: أن تَقبلَ منهم ما قَبِلَ اللَه عزّوجلّ منهم، و لا تَظلمَهم ما وفَوا</w:t>
      </w:r>
      <w:r>
        <w:rPr>
          <w:rtl w:val="0"/>
          <w:lang w:val="fa-IR"/>
        </w:rPr>
        <w:t xml:space="preserve"> </w:t>
      </w:r>
      <w:r>
        <w:rPr>
          <w:rStyle w:val="RevayatArabi++"/>
          <w:rtl w:val="0"/>
          <w:lang w:val="fa-IR"/>
        </w:rPr>
        <w:t xml:space="preserve">اللَه عزّوجلّ بعهدِه.»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”و امّا حقّ اهل ذِمّه (یعنی افرادی که مسلمان نیستند ولی اهل‌کتاب هستند و قائل به خدا و پیامبران گذشته هستند) این است که آنچه خداوند عزّوجلّ از آنها قبول کرده است (که در مملکت شما با آن شرایطِ دادن جِزیه و نفروختن شراب و گوشت خوک و انجام ندادن معصیتِ جهاری و پرداختن خَراج و جزیه به دولت اسلام زندگی کنند) شما هم از آنها قبول کنید؛ و دیگر آنها را مورد ستم و آزار خود قرار ندهید هنگامی‌که به عهد خداوند عزّوجلّ وفا می‌کنند.“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رسالۀ حقوقی بود که خود حضرت امام زین‌العابدین علیه السّلام برای یکی از اصحابشان مرقوم کرده بودند و فرستاده بودند، و ما به نحو اجمال معنا کردیم و گذشتیم و تمام شد؛ چون اگر روی هریک از این فقرات می‌خواستیم صحبت کنیم، سخن به درازا می‌کشید و از وضع بیان مجالس ما که بنا بر همان گفتن مسائل است، خارج می‌شدیم.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إن‌شاءاللَه فردا در بعضی از مسائل دیگر که مورد نیاز است صحبت می‌کنیم.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اللَهمّ صلّ علیٰ محمّد و آل محمّد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3" name="_x0000_i001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شوریٰ (٤٢) آیه ٤١.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من لا یحضره الفقیه</w:t>
      </w:r>
      <w:r>
        <w:rPr>
          <w:rtl w:val="0"/>
          <w:lang w:val="fa-IR"/>
        </w:rPr>
        <w:t xml:space="preserve">، ج ٢، ص ٦٢٣ ـ ٦٢٦؛ </w:t>
      </w:r>
      <w:r>
        <w:rPr>
          <w:rStyle w:val="EsmeKetab++"/>
          <w:rtl w:val="0"/>
          <w:lang w:val="fa-IR"/>
        </w:rPr>
        <w:t xml:space="preserve">الأمالی</w:t>
      </w:r>
      <w:r>
        <w:rPr>
          <w:rtl w:val="0"/>
          <w:lang w:val="fa-IR"/>
        </w:rPr>
        <w:t xml:space="preserve">، شیخ صدوق، ص ٣٧٣ ـ ٣٧٥؛ </w:t>
      </w:r>
      <w:r>
        <w:rPr>
          <w:rStyle w:val="EsmeKetab++"/>
          <w:rtl w:val="0"/>
          <w:lang w:val="fa-IR"/>
        </w:rPr>
        <w:t xml:space="preserve">مکارم الأخلاق</w:t>
      </w:r>
      <w:r>
        <w:rPr>
          <w:rtl w:val="0"/>
          <w:lang w:val="fa-IR"/>
        </w:rPr>
        <w:t xml:space="preserve">، ص ٤٢٢ ـ ٤٢٤، با قدری اختلاف در مصادر.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