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/>
      </w:pPr>
    </w:p>
    <w:p>
      <w:pPr>
        <w:pStyle w:val="VasatChinFarsi++"/>
      </w:pPr>
      <w:r>
        <w:rPr>
          <w:rtl w:val="0"/>
          <w:lang w:val="fa-IR"/>
        </w:rPr>
        <w:t xml:space="preserve">هو العلیم‌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Title"/>
      </w:pPr>
      <w:r>
        <w:rPr>
          <w:rtl w:val="0"/>
          <w:lang w:val="fa-IR"/>
        </w:rPr>
        <w:t xml:space="preserve">تحقیقی‌ راجع‌ به‌ سیر و سلوك‌ افراد در ادیان‌ و مذاهب‌ مختلفه‌ و نتیجه‌ مثبت‌ و یا منفی‌ آن‌ در وصول‌ به‌ توحید و عرفان‌ ذات‌ حقّ متعال‌از عامّه‌ و غیرهم‌</w:t>
      </w:r>
    </w:p>
    <w:p>
      <w:pPr/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حضرت علامه آیة الله حاج سید محمد حسین حسینی طهرانی</w:t>
      </w:r>
    </w:p>
    <w:p>
      <w:pPr>
        <w:pStyle w:val="VasatChinFarsi++"/>
      </w:pPr>
      <w:r>
        <w:rPr>
          <w:rtl w:val="0"/>
          <w:lang w:val="fa-IR"/>
        </w:rPr>
        <w:t xml:space="preserve"> </w:t>
      </w:r>
    </w:p>
    <w:p>
      <w:pPr>
        <w:pStyle w:val="VasatChinFarsi++"/>
      </w:pPr>
      <w:r>
        <w:rPr>
          <w:rtl w:val="0"/>
          <w:lang w:val="fa-IR"/>
        </w:rPr>
        <w:t xml:space="preserve">روح مجرد، صفحه 348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حقّ در خارج‌ یكی‌ است‌. زیرا به‌ معنی‌ اصل‌ هستی‌ و تحقّق‌ و وجود است‌. و معلوم‌ است‌ كه‌ حقیقت‌ وجود و موجود لایتغیر و لایتبدّل‌ است‌ . و در مقابل‌ آن‌ ، باطل‌ است‌ كه‌ به‌ معنی‌ غیر اصیل‌ و غیر متحقّق‌ و معدوم‌ می‌باشد .</w:t>
      </w:r>
    </w:p>
    <w:p>
      <w:pPr/>
      <w:r>
        <w:rPr>
          <w:rtl w:val="0"/>
          <w:lang w:val="fa-IR"/>
        </w:rPr>
        <w:t xml:space="preserve"> تمام‌ افرادی‌ كه‌ در عالم‌ ، اراده‌ سیر و سلوك‌ به‌ سوی‌ خدا وحقیقة‌ الحقائق‌ و أصل‌ الوجود و علّة‌ العلل‌ و مبدأ هستی‌ و منتهای‌ هستی‌ را دارند ، چه‌ مسلمان‌ و چه‌ غیر مسلمان‌ ، از یهود و نصاری‌ و مجوس‌ و تابع‌ بودا و كُنفُسیوس‌ ، و مسلمان‌ هم‌ چه‌ شیعه‌ و یا غیر شیعه‌ از اصناف‌ و انواع‌ مذاهب حادثه‌ در اسلام‌ ، از دو حال‌ خارج‌ نیستند :</w:t>
      </w:r>
    </w:p>
    <w:p>
      <w:pPr/>
      <w:r>
        <w:rPr>
          <w:rtl w:val="0"/>
          <w:lang w:val="fa-IR"/>
        </w:rPr>
        <w:t xml:space="preserve">اول‌: آنان كه‌ در نیتــشان‌ پـاك‌ نیستـنـد، و در سیـر و سـلوك‌ راه‌ اخلاص‌ و تقرّب‌ را نمی‌پیمایند ؛ بلكه‌ بجهت‌ دواعی‌ نفسانیه‌ وارد در سلوك‌ می‌شوند . این گروه‌ ابداً به‌ مقصود نمی‌رسند ، و در طی راه‌ به‌ كشف‌ و كرامتی‌ و یا تقویت‌ نفس‌ و تأثیر در موادّ كائنات‌ و یا إخبار از ضمائر و بواطن‌ و یا تحصیل‌ كیمیا و امثالها قناعت‌ می‌ورزند ، و بالأخره‌ دفنشان‌ در همین‌ مراحل‌ مختلفه‌ هر كدام‌ بر حسب‌ خودش‌ می‌باشد .</w:t>
      </w:r>
    </w:p>
    <w:p>
      <w:pPr/>
      <w:r>
        <w:rPr>
          <w:rtl w:val="0"/>
          <w:lang w:val="fa-IR"/>
        </w:rPr>
        <w:t xml:space="preserve"> دوم‌ : جماعتی‌ هستند كه‌ قصدشان‌ فقط‌ وصول‌ به‌ حقیقت‌ است‌ ، و غرض‌ دیگری‌ را با این‌ نیت‌ مشوب‌ نمی‌سازند . در این صورت‌ اگر مسلمان‌ و تابع‌ حضرت‌ خاتم‌ الأنبیاءِ و المرسلین‌ و شیعه‌ و پیرو حضرت‌ سید الأوصیاء أمیرالمؤمنین‌ علَیهما أفضلُ صلواتِ اللَه و ملئكتِه‌ المُقرَّبین‌ باشند ، در این‌ راه‌ می‌روند و به‌ مقصود می‌رسند . زیرا كه‌ راه‌ منحصر است‌ ، و بقیه‌ طرق‌ منفی و مطرود هستند .</w:t>
      </w:r>
    </w:p>
    <w:p>
      <w:pPr/>
      <w:r>
        <w:rPr>
          <w:rtl w:val="0"/>
          <w:lang w:val="fa-IR"/>
        </w:rPr>
        <w:t xml:space="preserve">و اگر مسلمان‌ نباشند و یا شیعه‌ نباشند ، حتماً از مستضعفین‌ خواهند بود . زیرا كه‌ برحسب‌ فرض‌ غِلّی‌ و غِشّی‌ ندارند ، و درباره‌ اسلام‌ و تشیع‌ دستشان‌ و تحقیقشان‌ به‌ جای‌ مثبتی‌ نرسیده‌ است‌ ؛ و گرنه‌ جزو گروه‌ اول‌ محسوب‌ می‌شوند كه‌ حالشان‌ معلوم‌ شد .</w:t>
      </w:r>
    </w:p>
    <w:p>
      <w:pPr/>
      <w:r>
        <w:rPr>
          <w:rtl w:val="0"/>
          <w:lang w:val="fa-IR"/>
        </w:rPr>
        <w:t xml:space="preserve"> این‌ افراد را خداوند دستگیری‌ می‌فرماید ؛ و از مراتب‌ و درجات‌ ، از راه‌ همان‌ ولایت‌ تكوینیه‌ كه‌ خودشان‌ هم‌ مطّلع‌ نیستند عبور می‌دهد ، و بالأخره‌ وارد در حرم‌ الهی‌ و حریم‌ كبریائی‌ می‌گردند و فناء در ذات‌ حقّ را پیدا می‌نمایند. و چون‌ دانستیم‌ كه‌ : حقّ واحد است‌ ، و راه‌ او مستقیم‌ و شریعت‌ او صحیح‌ است‌ ؛این‌ افراد مستضعف‌ كه‌ غرض‌ و مرضی‌ ندارند ، خودشان‌ در طی طریق‌ و یا در نهایت‌ آن‌ ، به‌ حقیقت‌ توحید و اسلام‌ و تشیع‌ می‌رسند و درمی‌یابند . زیراكه‌ وصول‌ به‌ توحید بدون‌ اسلام‌ محال‌ است‌ ، و اسلام‌ بدون‌ تشیع‌ مفهومی‌ بیش‌ نیست‌ و حقیقتی‌ ندارد .</w:t>
      </w:r>
    </w:p>
    <w:p>
      <w:pPr/>
      <w:r>
        <w:rPr>
          <w:rtl w:val="0"/>
          <w:lang w:val="fa-IR"/>
        </w:rPr>
        <w:t xml:space="preserve">اینانند كه‌ با نور كشف‌ و شهود درمی‌یابند كه‌ : ولایت‌ متن‌ نبوّت‌ است‌ ، و نبوّت‌ و ولایت‌ راه‌ و طریق‌ توحید است‌ . فلهذا اگر هزار قَسم‌ و یا دلیل‌ هم‌ برای‌ آنان‌ اقامه‌ كنند كه‌ : علی علیه‌السّلام‌ خلیفه‌ رسول‌ خدا نبود ، و پیغمبر برای‌ خود خلیفه‌ای‌ را معین‌ نكرد و وصیی‌ را قرار نداد ، قبول‌ نمی‌كنند و نمی‌توانند قبول‌ كنند ؛ چون كه‌ در برابر خود ، خدا را و جمیع‌ حقائق‌ را بالشُّهود و العَیان‌ نه‌ بالْخَبَرو السَّماع‌ ادراك‌ می‌كنند . </w:t>
      </w:r>
    </w:p>
    <w:p>
      <w:pPr/>
      <w:r>
        <w:rPr>
          <w:rtl w:val="0"/>
          <w:lang w:val="fa-IR"/>
        </w:rPr>
        <w:t xml:space="preserve"> كسی‌ كه‌ خدا را یافت‌ همه‌ چیز را یافته‌ است‌ ، در این صورت‌ آیا متصوّر است‌ كه‌ به‌ توحید برسد و نبوّت‌ و ولایت‌ را كه‌ حقیقت‌ و عین‌ آنند نیابد؟! این‌امر، امر معقول‌ نیست‌ .</w:t>
      </w:r>
    </w:p>
    <w:p>
      <w:pPr/>
      <w:r>
        <w:rPr>
          <w:rtl w:val="0"/>
          <w:lang w:val="fa-IR"/>
        </w:rPr>
        <w:t xml:space="preserve">بنابراین‌ ، جمیع‌ عرفای‌ غیر اسلام‌ و یا عرفای‌ مسلمان‌ غیر شیعه‌ كه‌نامشان‌ در تواریخ‌ مسطور است‌ ؛ یا در باطن‌ مسلمان‌ و شیعه‌ بوده‌اند ، غایة‌ الأمر بواسطه‌ عدم‌ مساعدت‌ محیط‌ بواسطه‌ حكومتها و قضات‌ جائره‌ و عوامّ النّاس‌كالأنعام‌ ـ كه‌ چه‌ بسیار از بزرگان‌ از عرفا را بواسطه‌ عدم‌ كتمان‌ سرّ و ابراز امور پنهانی‌ ، به‌ قتل‌ و غارت‌ و نهب‌ و سوزاندن‌ و به‌ دار كشیدن‌ محكوم‌ كرده‌اند ـ از ابراز این‌ حقیقت‌ خودداری‌ نموده‌اند ، زیرا هیچ‌ عاقلی‌ كه‌ بر خودش‌ مطلب‌ مكشوف‌ شده‌ است‌ ، راضی‌ ندارد آن را افشا كند و خود را طعمه‌ سگان‌ درنده‌ و گرگان‌ آدمیخوار قرار بدهد ؛ و یا به‌ مقصد و مقصود نرسیده‌اند و ادعای‌ عرفان‌ و وصول‌ را دارند ، و با كشف‌ امری‌ ، خود را فرعون‌ كرده‌ ، مردم‌ را به‌ سجده‌ خود فراخوانده‌اند .</w:t>
      </w:r>
    </w:p>
    <w:p>
      <w:pPr/>
      <w:r>
        <w:rPr>
          <w:rtl w:val="0"/>
          <w:lang w:val="fa-IR"/>
        </w:rPr>
        <w:t xml:space="preserve"> محیی‌الدّین‌ عربی‌ و ابن‌ فارض‌ و ملاّ محمّد بلخی‌ صاحب‌ مثنوی‌ و عطّار و أمثالهم‌ كه‌ در تراجم‌ و احوال‌ ، حالشان‌ ثبت‌ و ضبط‌ است‌ ، بدون‌ شكّ در ابتدای‌ امر خود سنّی‌ مذهب‌ بوده‌اند ؛ زیرا در حكومت‌ سنّی‌ مذهب‌ و شهر سنّی‌نشین‌ و خاندان‌ سنّی‌ آئین‌ و حاكم‌ و مفتی‌ و قاضـی‌ و امـام‌ جمـاعـت‌ و مـؤذّن‌ تا برسد به‌</w:t>
      </w:r>
    </w:p>
    <w:p>
      <w:pPr/>
      <w:r>
        <w:rPr>
          <w:rtl w:val="0"/>
          <w:lang w:val="fa-IR"/>
        </w:rPr>
        <w:t xml:space="preserve">بقّال‌ و عطّار و خاكروبه‌ برِ سنّی‌ نشو و نما یافته‌اند . مدرسه‌ و مكتبشان‌ سنّی‌ بوده‌ و كتابخانه‌ و كتابهایشان‌ مملوّ از كتب‌ عامّه‌ بوده‌ و حتّی‌ یك‌ جلد كتاب‌ شیعه‌ در تمام‌ شهر ایشان‌ یافت‌ نمی‌شده‌ است‌ .</w:t>
      </w:r>
    </w:p>
    <w:p>
      <w:pPr/>
      <w:r>
        <w:rPr>
          <w:rtl w:val="0"/>
          <w:lang w:val="fa-IR"/>
        </w:rPr>
        <w:t xml:space="preserve">ولی‌ چون‌ روز بروز در راه‌ سیر و تعالی‌ قدم‌ زدند ، و با دیده‌ انصاف‌ و قلب‌ پاك‌ به‌ جهان‌ شریعت‌ نگریستند ، كم‌ كم‌ بالشُّهود و الوجدان‌ حقائق‌ را دریافتند ، و پرده‌ تعصّب‌ و حمیت‌ جاهلی‌ را دریدند ، و از مخلِصین‌ موحّدین‌ و از فدویین‌ شیعیان‌ در محبّت‌ به‌ أمیرالمؤمنین‌ علیه‌السّلام‌ شدند . غایة‌ الأمر اسم‌ شیعه‌ و ابراز بغض‌ و عداوت‌ با خلفای‌ غاصب‌ نه‌ تنها برای‌ آنها در آن‌ زمان‌ محال‌ بود ، امروز هم‌ شما می‌بینید در بسیاری‌ از كشورهای‌ سنّی‌ نشین‌ مطلب‌ از این‌ قراراست‌.</w:t>
      </w:r>
    </w:p>
    <w:p>
      <w:pPr/>
      <w:r>
        <w:rPr>
          <w:rtl w:val="0"/>
          <w:lang w:val="fa-IR"/>
        </w:rPr>
        <w:t xml:space="preserve"> امروز هم‌ در هر گوشه‌ از مدینه‌: خانه‌ رسول‌ اللَه و بیت‌ فاطمه‌ و محلّ گسترش‌ جهاد و علوم‌ أمیرالمؤمنین‌ علیهم‌السّلام‌ ، اگر كسی‌ در اذان‌ خود و یا غیر اذان‌ علناً بگوید : </w:t>
      </w:r>
      <w:r>
        <w:rPr>
          <w:rStyle w:val="RevayatArabi++"/>
          <w:rtl w:val="0"/>
          <w:lang w:val="fa-IR"/>
        </w:rPr>
        <w:t xml:space="preserve">أشْهَدُ أنَّ عَلِیا أمِیـرُ الْمُؤْمِنِیـنَ وَ وَلِی اللَه</w:t>
      </w:r>
      <w:r>
        <w:rPr>
          <w:rtl w:val="0"/>
          <w:lang w:val="fa-IR"/>
        </w:rPr>
        <w:t xml:space="preserve"> خونش‌ را می‌ریزند ، و قبائل‌ و طوائف‌ خونش‌ و گوشتش‌ را برای‌ تبرّك‌ می‌برند ، و نمی‌گذارند جسد او باقی‌ بماند تا آن كه‌ وی‌ را دفن‌ كنند ؛ ولی‌ اگر یك‌ ساعت‌ تمام‌ از عائشه‌ تمجید و تعریف‌ كند ـ با آن‌ سوابق‌ شوم‌ و تاریخ‌ سیاه‌ او ـ دور او جمع‌ می‌شوند و نُقل‌ می‌پاشند و هلهله‌ می‌كنند .</w:t>
      </w:r>
    </w:p>
    <w:p>
      <w:pPr/>
      <w:r>
        <w:rPr>
          <w:rtl w:val="0"/>
          <w:lang w:val="fa-IR"/>
        </w:rPr>
        <w:t xml:space="preserve"> بنابراین‌ ، آنچه‌ را كه‌ این‌ بزرگان‌ در كتب‌ خود آورده‌اند ، بر ما واجب‌ نیست‌ كه‌ بدون‌ چون‌ و چرا بپذیریم‌ ، بلكه‌ باید با عقل‌ و سنّت‌ صحیحه‌ و گفتار ائمّه‌ حقّه‌ تطبیق‌ كنیم‌ . آنچه‌ را كه‌ درست‌ است‌ می‌پذیریم‌ و استفاده‌ می‌كنیم‌ ، و اگر  أحیاناً در كتابهایشان‌ چیزی‌ نادرست‌ به‌ نظر آمد قبول‌ نمی‌نمائیم‌ ، و آن را حمل‌ بر تقیه‌ و أمثالها می‌كنیم‌ ؛ همانطور كه‌ دأب‌ و دَیدن‌ ما در جمیع‌ كتب‌ حتّی‌ كتب‌شیعه‌ از این‌ قرار است‌ .</w:t>
      </w:r>
      <w:r>
        <w:rPr>
          <w:rStyle w:val="FootnoteReference"/>
        </w:rPr>
        <w:footnoteReference w:id="1"/>
      </w:r>
    </w:p>
    <w:sectPr w:rsidSect="006A46D0">
      <w:footerReference w:type="even" r:id="rId5"/>
      <w:footerReference w:type="default" r:id="rId6"/>
      <w:footerReference w:type="first" r:id="rId7"/>
      <w:footnotePr>
        <w:pos w:val="pageBottom"/>
        <w:numFmt w:val="decimal"/>
        <w:numRestart w:val="eachPage"/>
      </w:footnotePr>
      <w:type w:val="oddPage"/>
      <w:pgSz w:w="9979" w:h="14175" w:orient="portrait" w:code="138"/>
      <w:pgMar w:top="810" w:right="619" w:bottom="990" w:left="450" w:header="0" w:footer="289" w:gutter="0"/>
      <w:cols w:num="1" w:space="708">
        <w:col w:w="8910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0000000000000000000"/>
    <w:charset w:val="00"/>
    <w:family w:val="Auto"/>
    <w:pitch w:val="variable"/>
    <w:sig w:usb0="00002007" w:usb1="8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5B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6FF" w:usb1="420024FF" w:usb2="02000000" w:usb3="00000000" w:csb0="0000019F" w:csb1="00000000"/>
  </w:font>
  <w:font w:name="_F Asrar">
    <w:panose1 w:val="00000000000000000000"/>
    <w:charset w:val="00"/>
    <w:family w:val="Auto"/>
    <w:pitch w:val="variable"/>
    <w:sig w:usb0="80002003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9" name="_x0000_i0009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09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mc="http://schemas.openxmlformats.org/markup-compatibility/2006" xmlns:w="http://schemas.openxmlformats.org/wordprocessingml/2006/main">
  <w:footnote w:type="separator" w:id="-1">
    <w:p>
      <w:pPr>
        <w:ind w:firstLine="0"/>
        <w:rPr/>
      </w:pPr>
      <w:r>
        <w:separator/>
      </w:r>
    </w:p>
  </w:footnote>
  <w:footnote w:type="continuationSeparator" w:id="0">
    <w:p>
      <w:pPr>
        <w:ind w:firstLine="0"/>
        <w:rPr/>
      </w:pPr>
      <w:r>
        <w:separator/>
      </w:r>
    </w:p>
  </w:footnote>
  <w:footnote w:id="1">
    <w:p>
      <w:pPr/>
      <w:r>
        <w:rPr>
          <w:rStyle w:val="FootnoteReference"/>
        </w:rPr>
        <w:footnoteRef/>
      </w:r>
      <w:r>
        <w:t xml:space="preserve"> </w:t>
      </w:r>
      <w:r>
        <w:rPr>
          <w:rtl w:val="0"/>
          <w:lang w:val="fa-IR"/>
        </w:rPr>
        <w:t xml:space="preserve"> روح مجرد، ص ٣٤٨</w:t>
      </w:r>
    </w:p>
    <w:p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20"/>
  <w:embedTrueTypeFonts/>
  <w:bordersDoNotSurroundFooter/>
  <w:bordersDoNotSurroundHeader/>
  <w:proofState w:spelling="clean" w:grammar="clean"/>
  <w:doNotTrackMoves/>
  <w:documentProtection w:edit="trackedChanges" w:enforcement="0"/>
  <w:styleLockQFSet/>
  <w:defaultTabStop w:val="720"/>
  <w:evenAndOddHeaders/>
  <w:characterSpacingControl w:val="doNotCompress"/>
  <w:footnotePr>
    <w:pos w:val="pageBottom"/>
    <w:numFmt w:val="decimal"/>
    <w:numRestart w:val="eachPage"/>
    <w:footnote w:id="-1"/>
    <w:footnote w:id="0"/>
  </w:footnotePr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A46D0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 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uiPriority w:val="3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uiPriority w:val="3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uiPriority w:val="3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uiPriority w:val="3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uiPriority w:val="3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MatnVasatChin">
    <w:name w:val="MatnVasatChin"/>
    <w:basedOn w:val="Normal"/>
    <w:qFormat/>
    <w:rsid w:val="006A46D0"/>
    <w:pPr>
      <w:jc w:val="center"/>
    </w:pPr>
    <w:rPr>
      <w:lang w:bidi="fa-IR"/>
    </w:rPr>
  </w:style>
  <w:style w:type="paragraph" w:customStyle="1" w:styleId="NaghlegholMatn">
    <w:name w:val="Naghleghol Matn"/>
    <w:basedOn w:val="Normal"/>
    <w:uiPriority w:val="2"/>
    <w:qFormat/>
    <w:rsid w:val="006A46D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CF098B"/>
    <w:pPr>
      <w:ind w:left="1134"/>
    </w:pPr>
    <w:rPr>
      <w:rFonts w:ascii="_F Asrar" w:eastAsia="_F Asrar" w:hAnsi="_F Asrar" w:cs="_F Asrar"/>
      <w:color w:val="808080" w:themeColor="background1" w:themeShade="80"/>
      <w:sz w:val="23"/>
      <w:szCs w:val="23"/>
      <w:lang w:bidi="fa-IR"/>
    </w:rPr>
  </w:style>
  <w:style w:type="character" w:customStyle="1" w:styleId="RevayatArabi">
    <w:name w:val="Revayat Arabi"/>
    <w:basedOn w:val="DefaultParagraphFont"/>
    <w:qFormat/>
    <w:rsid w:val="00DE3DAB"/>
    <w:rPr>
      <w:rFonts w:ascii="_A Asrar" w:hAnsi="_A Asrar" w:cs="_A Anvar"/>
      <w:b/>
      <w:bCs/>
      <w:i w:val="0"/>
      <w:iCs w:val="0"/>
      <w:color w:val="C00000"/>
      <w:lang w:bidi="ar-SA"/>
    </w:rPr>
  </w:style>
  <w:style w:type="paragraph" w:customStyle="1" w:styleId="She'rMatn">
    <w:name w:val="She'r Matn"/>
    <w:basedOn w:val="Normal"/>
    <w:uiPriority w:val="4"/>
    <w:qFormat/>
    <w:rsid w:val="00CF098B"/>
    <w:pPr>
      <w:ind w:firstLine="0"/>
      <w:jc w:val="center"/>
    </w:pPr>
    <w:rPr>
      <w:rFonts w:ascii="_F Asrar" w:eastAsia="_F Asrar" w:hAnsi="_F Asrar" w:cs="_F Asrar"/>
      <w:color w:val="3B3B38" w:themeColor="background2" w:themeShade="40"/>
      <w:lang w:bidi="fa-IR"/>
    </w:rPr>
  </w:style>
  <w:style w:type="paragraph" w:customStyle="1" w:styleId="She'rNaghleghol">
    <w:name w:val="She'r Naghleghol"/>
    <w:basedOn w:val="Normal"/>
    <w:uiPriority w:val="4"/>
    <w:qFormat/>
    <w:rsid w:val="00CF098B"/>
    <w:pPr>
      <w:spacing w:line="216" w:lineRule="auto"/>
      <w:ind w:firstLine="0"/>
      <w:jc w:val="center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6A46D0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6A46D0"/>
    <w:rPr>
      <w:rFonts w:ascii="_F Asrar" w:eastAsia="_F Asrar" w:hAnsi="_F Asrar" w:cs="_F Asrar"/>
      <w:i/>
      <w:iCs/>
      <w:color w:val="3B3B38" w:themeColor="background2" w:themeShade="40"/>
      <w:lang w:bidi="fa-IR"/>
    </w:rPr>
  </w:style>
  <w:style w:type="paragraph" w:customStyle="1" w:styleId="Toggle_MS_V1">
    <w:name w:val="Toggle_MS_V1"/>
    <w:basedOn w:val="Normal"/>
    <w:next w:val="Normal"/>
    <w:qFormat/>
    <w:rsid w:val="00A67403"/>
    <w:pPr>
      <w:spacing w:before="120" w:after="120"/>
      <w:ind w:left="284" w:right="284" w:firstLine="0"/>
    </w:pPr>
    <w:rPr>
      <w:color w:val="7B4B23" w:themeColor="accent6" w:themeShade="80"/>
    </w:rPr>
  </w:style>
  <w:style w:type="character" w:customStyle="1" w:styleId="Arabi">
    <w:name w:val="Arabi"/>
    <w:basedOn w:val="DefaultParagraphFont"/>
    <w:uiPriority w:val="1"/>
    <w:qFormat/>
    <w:rsid w:val="00E051F1"/>
    <w:rPr>
      <w:rFonts w:ascii="_A Asrar" w:eastAsia="_A Asrar" w:hAnsi="_A Asrar" w:cs="_A Asrar"/>
      <w:color w:val="1F497D" w:themeColor="text2"/>
    </w:rPr>
  </w:style>
  <w:style w:type="paragraph" w:customStyle="1" w:styleId="VasatChinMatn">
    <w:name w:val="VasatChin Matn"/>
    <w:basedOn w:val="Normal"/>
    <w:qFormat/>
    <w:rsid w:val="00E051F1"/>
    <w:pPr>
      <w:ind w:firstLine="0"/>
      <w:jc w:val="center"/>
    </w:pPr>
    <w:rPr>
      <w:rFonts w:ascii="_F Asrar" w:eastAsia="_F Asrar" w:hAnsi="_F Asrar" w:cs="_F Asrar"/>
      <w:lang w:bidi="fa-IR"/>
    </w:rPr>
  </w:style>
  <w:style w:type="paragraph" w:customStyle="1" w:styleId="ChapChin">
    <w:name w:val="ChapChin"/>
    <w:basedOn w:val="Normal"/>
    <w:uiPriority w:val="3"/>
    <w:qFormat/>
    <w:rsid w:val="00E051F1"/>
    <w:pPr>
      <w:jc w:val="right"/>
    </w:pPr>
    <w:rPr>
      <w:rFonts w:ascii="_F Asrar" w:eastAsia="_F Asrar" w:hAnsi="_F Asrar" w:cs="_F Asrar"/>
      <w:color w:val="17365D" w:themeColor="text2" w:themeShade="BF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159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78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47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webSettings" Target="webSettings.xml" /><Relationship Id="rId11" Type="http://schemas.openxmlformats.org/officeDocument/2006/relationships/numbering" Target="numbering.xml" /><Relationship Id="rId12" Type="http://schemas.openxmlformats.org/officeDocument/2006/relationships/fontTable" Target="fontTable.xml" /><Relationship Id="rId13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notes" Target="footnotes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</Template>
  <TotalTime>2720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C03CE746-167E-4C26-9BCD-3378C92DA4BE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2720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sadek jomaa</cp:lastModifiedBy>
  <cp:revision>19</cp:revision>
  <cp:lastPrinted>2018-10-29T19:08:00Z</cp:lastPrinted>
  <dcterms:created xsi:type="dcterms:W3CDTF">2019-09-22T15:42:00Z</dcterms:created>
  <dcterms:modified xsi:type="dcterms:W3CDTF">2024-01-15T12:06:00Z</dcterms:modified>
</cp:coreProperties>
</file>