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دوّم</w:t>
      </w:r>
    </w:p>
    <w:p>
      <w:pPr>
        <w:pStyle w:val="VasatChinFarsi++"/>
      </w:pPr>
      <w:r>
        <w:rPr>
          <w:rtl w:val="0"/>
          <w:lang w:val="fa-IR"/>
        </w:rPr>
        <w:t xml:space="preserve">لزوم مراقبه در راه عرفان جهت وصول به مقام فناء فی اللَه</w:t>
      </w:r>
    </w:p>
    <w:p>
      <w:pPr>
        <w:pStyle w:val="VasatChinFarsi++"/>
      </w:pPr>
      <w:r>
        <w:rPr>
          <w:rtl w:val="0"/>
          <w:lang w:val="fa-IR"/>
        </w:rPr>
        <w:t xml:space="preserve"> تفسیر فقراتی از حدیث قدسی: یا عیسی! (٢)</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عیسی، لا تُشرِک بی شیئًا و کُن مِنّی علیٰ حَذَرٍ! و لا تَغتَرَّ بالصِّحّة و تُغَبِّط نفسَک، فإنّ الدّنیا کفَیْ‌ءٍ زائلٍ و ما أقبَلَ منها کما أدبَرَ؛ فنافِس فی الصّالحات جُهدَک، و کُن مع الحقِّ حیثُما کان و إن قُطِعتَ و أُحرِقتَ بالنّار. فلا تَکفُر بی بَعد المعرفةِ، فلا تکونَنَّ مِن الجاهلینَ؛ فإنّ الشّی‌ءَ یکونُ مع الشّی‌ء.</w:t>
      </w:r>
      <w:r>
        <w:rPr>
          <w:rStyle w:val="FootnoteReference"/>
        </w:rPr>
        <w:footnoteReference w:id="1"/>
      </w:r>
    </w:p>
    <w:p>
      <w:pPr>
        <w:pStyle w:val="NaghlegholFarsiMatn++"/>
      </w:pPr>
      <w:r>
        <w:rPr>
          <w:rtl w:val="0"/>
          <w:lang w:val="fa-IR"/>
        </w:rPr>
        <w:t xml:space="preserve">«ای عیسی، به من هیچ شرک نیاور و همیشه از مخالفت من بر حذر باش! و به صحّت خود مغرور مشو و نفس خود را به غبطه مینداز، چون دنیا مانند سایه‌ای گذران است و آنچه از دنیا و از حوادث در پیش است مانند همان قضایا و حوادث گذشته است؛ پس تا می‌توانی در اعمال صالح و کارهای نیک جدّیّت کن و سبقت بگیر، و با حق باش هرجا که حقّ است، و اگرچه قطعه‌قطعه شوی و با آتش سوخته شوی دست از حقّ بر ندار!»</w:t>
      </w:r>
    </w:p>
    <w:p>
      <w:pPr>
        <w:pStyle w:val="NaghlegholFarsiMatn++"/>
      </w:pPr>
      <w:r>
        <w:rPr>
          <w:rtl w:val="0"/>
          <w:lang w:val="fa-IR"/>
        </w:rPr>
        <w:t xml:space="preserve"> </w:t>
      </w:r>
      <w:r>
        <w:rPr>
          <w:rtl w:val="0"/>
          <w:lang w:val="fa-IR"/>
        </w:rPr>
        <w:t xml:space="preserve">تفسیر این فقرات تا حدودی ذکر شد.</w:t>
      </w:r>
      <w:r>
        <w:rPr>
          <w:rStyle w:val="FootnoteReference"/>
        </w:rPr>
        <w:footnoteReference w:id="2"/>
      </w:r>
    </w:p>
    <w:p>
      <w:pPr>
        <w:pStyle w:val="NaghlegholFarsiMatn++"/>
      </w:pPr>
      <w:r>
        <w:rPr>
          <w:rtl w:val="0"/>
          <w:lang w:val="fa-IR"/>
        </w:rPr>
        <w:t xml:space="preserve"> </w:t>
      </w:r>
    </w:p>
    <w:p>
      <w:pPr>
        <w:pStyle w:val="Heading2"/>
      </w:pPr>
      <w:r>
        <w:rPr>
          <w:rtl w:val="0"/>
          <w:lang w:val="fa-IR"/>
        </w:rPr>
        <w:t xml:space="preserve">کفر بعد از معرفت و شناخت خدا</w:t>
      </w:r>
    </w:p>
    <w:p>
      <w:pPr>
        <w:pStyle w:val="NaghlegholFarsiMatn++"/>
      </w:pPr>
      <w:r>
        <w:rPr>
          <w:rtl w:val="0"/>
          <w:lang w:val="fa-IR"/>
        </w:rPr>
        <w:t xml:space="preserve">فلا تَکفُر بی بَعد المعرفةِ، فلا تکونَنَّ مِن الجاهلین؛ «بعد از اینکه به من معرفت پیدا کردی، دیگر به من کافر مشو و از جاهلین مباش!»</w:t>
      </w:r>
    </w:p>
    <w:p>
      <w:pPr>
        <w:pStyle w:val="NaghlegholFarsiMatn++"/>
      </w:pPr>
      <w:r>
        <w:rPr>
          <w:rtl w:val="0"/>
          <w:lang w:val="fa-IR"/>
        </w:rPr>
        <w:t xml:space="preserve"> </w:t>
      </w:r>
      <w:r>
        <w:rPr>
          <w:rtl w:val="0"/>
          <w:lang w:val="fa-IR"/>
        </w:rPr>
        <w:t xml:space="preserve">این عبارت یک جملۀ إخباریّه است و بعد هم تعلیل دارد:</w:t>
      </w:r>
    </w:p>
    <w:p>
      <w:pPr>
        <w:pStyle w:val="NaghlegholFarsiMatn++"/>
      </w:pPr>
      <w:r>
        <w:rPr>
          <w:rtl w:val="0"/>
          <w:lang w:val="fa-IR"/>
        </w:rPr>
        <w:t xml:space="preserve">فإنّ الشّی‌ءَ یکونُ مع الشّیء؛ «چون شیء با شیء می‌باشد و چیز با چیز دیگر معیّت دارد.»</w:t>
      </w:r>
    </w:p>
    <w:p>
      <w:pPr>
        <w:pStyle w:val="NaghlegholFarsiMatn++"/>
      </w:pPr>
      <w:r>
        <w:rPr>
          <w:rtl w:val="0"/>
          <w:lang w:val="fa-IR"/>
        </w:rPr>
        <w:t xml:space="preserve"> </w:t>
      </w:r>
      <w:r>
        <w:rPr>
          <w:rtl w:val="0"/>
          <w:lang w:val="fa-IR"/>
        </w:rPr>
        <w:t xml:space="preserve">آیا ممکن است بعد از اینکه انسان به خدا معرفت و شناخت پیدا کند کافر شود، یا اینکه ممکن نیست؟</w:t>
      </w:r>
    </w:p>
    <w:p>
      <w:pPr>
        <w:pStyle w:val="Heading2"/>
      </w:pPr>
      <w:r>
        <w:rPr>
          <w:rtl w:val="0"/>
          <w:lang w:val="fa-IR"/>
        </w:rPr>
        <w:t xml:space="preserve">ملازمۀ میزان معرفت انسان با طهارت باطنی او</w:t>
      </w:r>
    </w:p>
    <w:p>
      <w:pPr>
        <w:pStyle w:val="NaghlegholFarsiMatn++"/>
      </w:pPr>
      <w:r>
        <w:rPr>
          <w:rtl w:val="0"/>
          <w:lang w:val="fa-IR"/>
        </w:rPr>
        <w:t xml:space="preserve"> </w:t>
      </w:r>
      <w:r>
        <w:rPr>
          <w:rtl w:val="0"/>
          <w:lang w:val="fa-IR"/>
        </w:rPr>
        <w:t xml:space="preserve">معرفت دارای درجات و مراتبی است. سالک وقتی به‌سوی خدا حرکت می‌کند و با تهذیب و تزکیه از آن هوی‌ٰها و آلودگی‌هایی که با نفس او آمیخته شده است، کم‌کم رفع ید می‌کند و جلو می‌آید، هر مرحله‌ای که طی کند مقداری از آن غشّ و آلودگی‌های نفس را تبدیل به طهارت کرده است و یک عالمی از معرفت بر او منکشف می‌شود که در سابق منکشف نبوده است؛ و باز الآن ممکن است که دارای آلودگی باشد و این آلودگی هم باید از بین برود تا به عالمِ دیگر برسد؛ و باز ممکن است دارای آلودگی باشد و باید دارای طهارت بشود تا به یک عالم دیگر برسد.</w:t>
      </w:r>
    </w:p>
    <w:p>
      <w:pPr>
        <w:pStyle w:val="NaghlegholFarsiMatn++"/>
      </w:pPr>
      <w:r>
        <w:rPr>
          <w:rtl w:val="0"/>
          <w:lang w:val="fa-IR"/>
        </w:rPr>
        <w:t xml:space="preserve"> </w:t>
      </w:r>
      <w:r>
        <w:rPr>
          <w:rtl w:val="0"/>
          <w:lang w:val="fa-IR"/>
        </w:rPr>
        <w:t xml:space="preserve">خلاصه اینکه طهارت مقولِ به تشکیک است؛ یعنی دارای درجات و مراتب است. طهارت اوّل همین طهارت ظاهر است؛ طهارت دوّم، طهارت اخلاق است؛ طهارت سوّم، طهارت عقیده است؛ طهارت چهارم، طهارت نفس است؛ طهارت پنجم، طهارت عقل است؛ طهارت ششم، طهارت سرّ است؛ و بالأخره آخرین درجۀ طهارت، طهارت وجود است که وجود انسان باید طاهر بشود. اینها مراتب طهارت است و انسان به هر درجه‌ای طهارت پیدا کند، به همان درجه بر اسرار علم پیدا می‌کند و به همان درجه به خدا معرفت پیدا می‌کند.</w:t>
      </w:r>
    </w:p>
    <w:p>
      <w:pPr>
        <w:pStyle w:val="NaghlegholFarsiMatn++"/>
      </w:pPr>
      <w:r>
        <w:rPr>
          <w:rtl w:val="0"/>
          <w:lang w:val="fa-IR"/>
        </w:rPr>
        <w:t xml:space="preserve"> </w:t>
      </w:r>
      <w:r>
        <w:rPr>
          <w:rtl w:val="0"/>
          <w:lang w:val="fa-IR"/>
        </w:rPr>
        <w:t xml:space="preserve">بنابراین افراد عادی که اسلام آورده‌اند ـ نه‌اینکه معرفت به خدا ندارند، بلکه معرفت دارند منتها فقط همین مقدار ـ وقتی عبادات انجام می‌دهند، روزه می‌گیرند و حج می‌کنند، اگر این اعمال ظاهری از روی خلوص و قصد تقرّب باشد، درجاتی طی می‌کنند و معرفتشان زیادتر می‌شود، تا اینکه یکی پس از دیگری اعمال را انجام می‌دهند. تمام این اعمالی که انسان انجام می‌دهد برای طهارت و برای تقرّب است، و تقرّب یعنی نزدیکی؛ آنچه انسان را از خدا دور می‌کند همین کثافاتی است که در نفوس انسان است.</w:t>
      </w:r>
    </w:p>
    <w:p>
      <w:pPr>
        <w:pStyle w:val="NaghlegholFarsiMatn++"/>
      </w:pPr>
      <w:r>
        <w:rPr>
          <w:rtl w:val="0"/>
          <w:lang w:val="fa-IR"/>
        </w:rPr>
        <w:t xml:space="preserve"> </w:t>
      </w:r>
      <w:r>
        <w:rPr>
          <w:rtl w:val="0"/>
          <w:lang w:val="fa-IR"/>
        </w:rPr>
        <w:t xml:space="preserve">حضرت سیّدالسّاجدین علیه السّلام می‌فرماید:</w:t>
      </w:r>
    </w:p>
    <w:p>
      <w:pPr>
        <w:pStyle w:val="NaghlegholFarsiMatn++"/>
      </w:pPr>
      <w:r>
        <w:rPr>
          <w:rtl w:val="0"/>
          <w:lang w:val="fa-IR"/>
        </w:rPr>
        <w:t xml:space="preserve">و إنّک لا تَحتَجِبُ عن خلقِک، ولکن تَحجُبُهم الأعمالُ دونَک؛</w:t>
      </w:r>
      <w:r>
        <w:rPr>
          <w:rStyle w:val="FootnoteReference"/>
        </w:rPr>
        <w:footnoteReference w:id="3"/>
      </w:r>
      <w:r>
        <w:rPr>
          <w:rtl w:val="0"/>
          <w:lang w:val="fa-IR"/>
        </w:rPr>
        <w:t xml:space="preserve"> «خدایا، تو از بندگان خودت محجوب و پشت پرده نیستی؛ بلکه اعمال زشتشان تو را از آنها محجوب کرده است و پرده روی افکار آنها کشیده است.»</w:t>
      </w:r>
    </w:p>
    <w:p>
      <w:pPr>
        <w:pStyle w:val="NaghlegholFarsiMatn++"/>
      </w:pPr>
      <w:r>
        <w:rPr>
          <w:rtl w:val="0"/>
          <w:lang w:val="fa-IR"/>
        </w:rPr>
        <w:t xml:space="preserve"> </w:t>
      </w:r>
      <w:r>
        <w:rPr>
          <w:rtl w:val="0"/>
          <w:lang w:val="fa-IR"/>
        </w:rPr>
        <w:t xml:space="preserve">پس انسان با اعمال صالحه رفع حجب می‌کند و جلو می‌رود.</w:t>
      </w:r>
    </w:p>
    <w:p>
      <w:pPr>
        <w:pStyle w:val="Heading2"/>
      </w:pPr>
      <w:r>
        <w:rPr>
          <w:rtl w:val="0"/>
          <w:lang w:val="fa-IR"/>
        </w:rPr>
        <w:t xml:space="preserve">طهارت لازم جهت ادراک بطون قرآن و معارف الهی</w:t>
      </w:r>
    </w:p>
    <w:p>
      <w:pPr>
        <w:pStyle w:val="NaghlegholFarsiMatn++"/>
      </w:pPr>
      <w:r>
        <w:rPr>
          <w:rtl w:val="0"/>
          <w:lang w:val="fa-IR"/>
        </w:rPr>
        <w:t xml:space="preserve"> </w:t>
      </w:r>
      <w:r>
        <w:rPr>
          <w:rtl w:val="0"/>
          <w:lang w:val="fa-IR"/>
        </w:rPr>
        <w:t xml:space="preserve">در قرآن مجید داریم:</w:t>
      </w:r>
    </w:p>
    <w:p>
      <w:pPr/>
      <w:r>
        <w:rPr>
          <w:rStyle w:val="Ayat2Matn++"/>
          <w:rtl w:val="0"/>
          <w:lang w:val="fa-IR"/>
        </w:rPr>
        <w:t xml:space="preserve">﴿لَا يَمَسُّهُۥٓ إِلَّا ٱلۡمُطَهَّرُونَ﴾</w:t>
      </w:r>
      <w:r>
        <w:rPr>
          <w:rtl w:val="0"/>
          <w:lang w:val="fa-IR"/>
        </w:rPr>
        <w:t xml:space="preserve">؛</w:t>
      </w:r>
      <w:r>
        <w:rPr>
          <w:rStyle w:val="FootnoteReference"/>
        </w:rPr>
        <w:footnoteReference w:id="4"/>
      </w:r>
      <w:r>
        <w:rPr>
          <w:rtl/>
          <w:lang w:val="fa-IR"/>
        </w:rPr>
        <w:t xml:space="preserve"> «قرآن را مسّ نمی‌کنند مگر افرادی که مطهّر باشند (یعنی پاکیزه شده باشند).»</w:t>
      </w:r>
    </w:p>
    <w:p>
      <w:pPr>
        <w:pStyle w:val="NaghlegholFarsiMatn++"/>
      </w:pPr>
      <w:r>
        <w:rPr>
          <w:rtl w:val="0"/>
          <w:lang w:val="fa-IR"/>
        </w:rPr>
        <w:t xml:space="preserve"> </w:t>
      </w:r>
      <w:r>
        <w:rPr>
          <w:rtl w:val="0"/>
          <w:lang w:val="fa-IR"/>
        </w:rPr>
        <w:t xml:space="preserve">همین‌طوری که مسّ آیات ظاهری قرآن بدون وضو و غسل جایز نیست، مسّ حقایق و بواطن قرآن هم بدون حصول طهارت ممکن نیست؛ </w:t>
      </w:r>
      <w:r>
        <w:rPr>
          <w:rStyle w:val="Ayat2Matn++"/>
          <w:rtl w:val="0"/>
          <w:lang w:val="fa-IR"/>
        </w:rPr>
        <w:t xml:space="preserve">﴿لَا يَمَسُّهُۥٓ﴾</w:t>
      </w:r>
      <w:r>
        <w:rPr>
          <w:rtl w:val="0"/>
          <w:lang w:val="fa-IR"/>
        </w:rPr>
        <w:t xml:space="preserve"> صیغۀ إخباریّه است، یعنی آن حقایق را نمی‌توانند مسّ کنند مگر اینکه از مطهّرون باشند.</w:t>
      </w:r>
      <w:r>
        <w:rPr>
          <w:rStyle w:val="FootnoteReference"/>
        </w:rPr>
        <w:footnoteReference w:id="5"/>
      </w:r>
    </w:p>
    <w:p>
      <w:pPr>
        <w:pStyle w:val="NaghlegholFarsiMatn++"/>
      </w:pPr>
      <w:r>
        <w:rPr>
          <w:rtl w:val="0"/>
          <w:lang w:val="fa-IR"/>
        </w:rPr>
        <w:t xml:space="preserve"> </w:t>
      </w:r>
      <w:r>
        <w:rPr>
          <w:rtl w:val="0"/>
          <w:lang w:val="fa-IR"/>
        </w:rPr>
        <w:t xml:space="preserve">حضرت سیّدالشّهدا علیه السّلام می‌فرماید:</w:t>
      </w:r>
    </w:p>
    <w:p>
      <w:pPr>
        <w:pStyle w:val="NaghlegholFarsiMatn++"/>
      </w:pPr>
      <w:r>
        <w:rPr>
          <w:rtl w:val="0"/>
          <w:lang w:val="fa-IR"/>
        </w:rPr>
        <w:t xml:space="preserve">إنّ کتابَ اللَه عزّوجلّ علیٰ أربعةِ أشیاءَ: علَی العبارةِ و الإشارةِ و اللّطائفِ و الحقائق؛ «کتاب خدا دارای چهار درجه است: یکی عبارت است و یکی اشارت است و یکی لطائف است و یکی حقایق است.»</w:t>
      </w:r>
    </w:p>
    <w:p>
      <w:pPr>
        <w:pStyle w:val="NaghlegholFarsiMatn++"/>
      </w:pPr>
      <w:r>
        <w:rPr>
          <w:rtl w:val="0"/>
          <w:lang w:val="fa-IR"/>
        </w:rPr>
        <w:t xml:space="preserve">فالعبارةُ للعوامِّ و الإشارةُ للخواصِّ و اللّطائفُ للأولیاءِ و الحقائقُ للأنبیاء؛</w:t>
      </w:r>
      <w:r>
        <w:rPr>
          <w:rStyle w:val="FootnoteReference"/>
        </w:rPr>
        <w:footnoteReference w:id="6"/>
      </w:r>
    </w:p>
    <w:p>
      <w:pPr>
        <w:pStyle w:val="NaghlegholFarsiMatn++"/>
      </w:pPr>
      <w:r>
        <w:rPr>
          <w:rtl w:val="0"/>
          <w:lang w:val="fa-IR"/>
        </w:rPr>
        <w:t xml:space="preserve"> </w:t>
      </w:r>
    </w:p>
    <w:p>
      <w:pPr>
        <w:pStyle w:val="NaghlegholFarsiMatn++"/>
      </w:pPr>
      <w:r>
        <w:rPr>
          <w:rtl/>
          <w:lang w:val="fa-IR"/>
        </w:rPr>
        <w:t xml:space="preserve">«عبارت برای عوام است (که آن را می‌خوانند و معنایش را هم می‌فهمند)، اشارات قرآن برای خواص است، لطایف قرآن برای اولیای خدا است و حقایق آن برای انبیا است (یعنی قرآن حقایقی دارد که غیر از انبیا اصلاً نمی‌فهمند).»</w:t>
      </w:r>
    </w:p>
    <w:p>
      <w:pPr>
        <w:pStyle w:val="NaghlegholFarsiMatn++"/>
      </w:pPr>
      <w:r>
        <w:rPr>
          <w:rtl w:val="0"/>
          <w:lang w:val="fa-IR"/>
        </w:rPr>
        <w:t xml:space="preserve"> </w:t>
      </w:r>
      <w:r>
        <w:rPr>
          <w:rtl w:val="0"/>
          <w:lang w:val="fa-IR"/>
        </w:rPr>
        <w:t xml:space="preserve">همین قرآنی که خوانده می‌شود، مانند: </w:t>
      </w:r>
      <w:r>
        <w:rPr>
          <w:rStyle w:val="Ayat2Matn++"/>
          <w:rtl w:val="0"/>
          <w:lang w:val="fa-IR"/>
        </w:rPr>
        <w:t xml:space="preserve">﴿قُلۡ هُوَ ٱللَهُ أَحَدٌ﴾</w:t>
      </w:r>
      <w:r>
        <w:rPr>
          <w:rtl w:val="0"/>
          <w:lang w:val="fa-IR"/>
        </w:rPr>
        <w:t xml:space="preserve">؛</w:t>
      </w:r>
      <w:r>
        <w:rPr>
          <w:rStyle w:val="FootnoteReference"/>
        </w:rPr>
        <w:footnoteReference w:id="7"/>
      </w:r>
      <w:r>
        <w:rPr>
          <w:rtl w:val="0"/>
          <w:lang w:val="fa-IR"/>
        </w:rPr>
        <w:t xml:space="preserve"> «بگو خدا یکی است» که عبارتی بیش نیست، یک معنای روشن و ساده دارد ـ و معنای آیۀ ﴿ما قرآن را آسان كرديم براي اينكه همه بفهمند﴾</w:t>
      </w:r>
      <w:r>
        <w:rPr>
          <w:rStyle w:val="FootnoteReference"/>
        </w:rPr>
        <w:footnoteReference w:id="8"/>
      </w:r>
      <w:r>
        <w:rPr>
          <w:rtl w:val="0"/>
          <w:lang w:val="fa-IR"/>
        </w:rPr>
        <w:t xml:space="preserve"> این است ـ؛ امّا همین آیه یک معنای باطنی دارد که تا انسان متناسب با فهم آن معنا تحصیلِ طهارت نکند، به آن معنا نمی‌رسد. تازه وقتی به آن معنا رسید، باز آن معنا یک معنای باطنی دیگر دارد؛ و هم‌چنین هر درجه از طهارت که حاصل کند، مسّ آن درجه از حقیقت قرآن است.</w:t>
      </w:r>
      <w:r>
        <w:rPr>
          <w:rStyle w:val="FootnoteReference"/>
        </w:rPr>
        <w:footnoteReference w:id="9"/>
      </w:r>
    </w:p>
    <w:p>
      <w:pPr>
        <w:pStyle w:val="NaghlegholFarsiMatn++"/>
      </w:pPr>
      <w:r>
        <w:rPr>
          <w:rtl w:val="0"/>
          <w:lang w:val="fa-IR"/>
        </w:rPr>
        <w:t xml:space="preserve"> </w:t>
      </w:r>
      <w:r>
        <w:rPr>
          <w:rtl w:val="0"/>
          <w:lang w:val="fa-IR"/>
        </w:rPr>
        <w:t xml:space="preserve">معارف خدا هم همین‌طور است. یک وقت انسان همین‌طور قائل می‌شود که خدا یکی است و پیغمبر هم هست، و آن را دنبال می‌کند و برایش قدری کشف می‌شود که خدا واقعاً قدیر است و واقعاً باید به خدا توکّل کرد. مثل اینکه شخصی در خواب یا بیداری می‌بیند که گنجشکی دانه‌ای برداشت و بُرد به دهان گنجشک دیگری که شَل بود گذاشت، و امثال اینها؛ می‌گوید: «عجب خدایی است، چگونه به اینها اطعام می‌کند؟! عجب خدای توانایی است! این قدرت خدا است!» باز از این بالاتر می‌رود و قدرت خدا را در همۀ عوالم می‌بیند، علم خدا را در همۀ عوالم می‌بیند و واقعاً لمس می‌کند و مشهودش می‌شود، اسماء و صفات جزئی خدا بر او تجلّی می‌کند، بعد اسماء و صفات کلّی خدا بر او تجلّی می‌کند، تا بالاتر می‌رسد. امّا تا هنگامی که به مقام فناء فی اللَه نرسیده است، در خطر است؛ یعنی امکان بازگشت برای او هست، یعنی بالا می‌رود و دو مرتبه پایین می‌آید، مثل فنر که بالا می‌رود و پایین می‌آید. امتحان کردید، بعضی از اوقات انسان نمازی می‌خواند و حالی پیدا می‌کند، بعد گناهی می‌کند و آن حالش می‌رود. معرفت خدا هم همین‌طور است؛ ممکن است افرادی در اثر توجّه و تهذیب نفس، قدری بالا بروند، امّا بعداً در اثر توجّه به دنیا و غفلت و سنگینی، آن حالاتی که در ایشان بود از بین برود.</w:t>
      </w:r>
    </w:p>
    <w:p>
      <w:pPr>
        <w:pStyle w:val="NaghlegholFarsiMatn++"/>
      </w:pPr>
      <w:r>
        <w:rPr>
          <w:rtl w:val="0"/>
          <w:lang w:val="fa-IR"/>
        </w:rPr>
        <w:t xml:space="preserve"> </w:t>
      </w:r>
      <w:r>
        <w:rPr>
          <w:rtl w:val="0"/>
          <w:lang w:val="fa-IR"/>
        </w:rPr>
        <w:t xml:space="preserve">در آیات قرآن می‌خواندیم:</w:t>
      </w:r>
    </w:p>
    <w:p>
      <w:pPr>
        <w:pStyle w:val="NaghlegholFarsiMatn++"/>
      </w:pPr>
      <w:r>
        <w:rPr>
          <w:rStyle w:val="Ayat2Matn++"/>
          <w:rtl w:val="0"/>
          <w:lang w:val="fa-IR"/>
        </w:rPr>
        <w:t xml:space="preserve">﴿وَ نَسُواْ حَظّٗا مِّمَّا ذُكِّرُواْ بِهِ﴾</w:t>
      </w:r>
      <w:r>
        <w:rPr>
          <w:rtl w:val="0"/>
          <w:lang w:val="fa-IR"/>
        </w:rPr>
        <w:t xml:space="preserve">؛</w:t>
      </w:r>
      <w:r>
        <w:rPr>
          <w:rStyle w:val="FootnoteReference"/>
        </w:rPr>
        <w:footnoteReference w:id="10"/>
      </w:r>
      <w:r>
        <w:rPr>
          <w:rtl w:val="0"/>
          <w:lang w:val="fa-IR"/>
        </w:rPr>
        <w:t xml:space="preserve"> «حظّ و بهره را از آن چیزهایی که به آنها تذکّر داده شد، فراموش کردند.»</w:t>
      </w:r>
    </w:p>
    <w:p>
      <w:pPr>
        <w:pStyle w:val="NaghlegholFarsiMatn++"/>
      </w:pPr>
      <w:r>
        <w:rPr>
          <w:rtl w:val="0"/>
          <w:lang w:val="fa-IR"/>
        </w:rPr>
        <w:t xml:space="preserve"> </w:t>
      </w:r>
      <w:r>
        <w:rPr>
          <w:rtl w:val="0"/>
          <w:lang w:val="fa-IR"/>
        </w:rPr>
        <w:t xml:space="preserve">که راجع به بنی‌اسرائیل می‌فرماید: چیزهایی به اینها تذکّر داده شد و در آن‌وقت می‌فهمیدند، امّا آن حظّ و بهره را فراموش کردند و قلبشان قسی و سنگ و سخت شد. پس همیشه در حالات انسان نوسان هست، لذا هر کس برای اینکه از نوسان بیرون بیاید، باید مدّتی در آن عالمی که طی می‌کند بماند و بعد به عالم دیگر رجوع کند.</w:t>
      </w:r>
    </w:p>
    <w:p>
      <w:pPr>
        <w:pStyle w:val="Heading2"/>
      </w:pPr>
      <w:r>
        <w:rPr>
          <w:rtl w:val="0"/>
          <w:lang w:val="fa-IR"/>
        </w:rPr>
        <w:t xml:space="preserve">کیفیّت وصول به مقام مخلَصین و حالات آنها بعد از شهود و فناء ذات</w:t>
      </w:r>
    </w:p>
    <w:p>
      <w:pPr>
        <w:pStyle w:val="NormalA++"/>
      </w:pPr>
      <w:r>
        <w:rPr>
          <w:rtl w:val="0"/>
          <w:lang w:val="fa-IR"/>
        </w:rPr>
        <w:t xml:space="preserve"> </w:t>
      </w:r>
      <w:r>
        <w:rPr>
          <w:rtl w:val="0"/>
          <w:lang w:val="fa-IR"/>
        </w:rPr>
        <w:t xml:space="preserve">این اربعینیّات که می‌گویند، برای همین جهت است که در هر عالمی بماند تا اینکه واردات آن عالم برایش ملکه شود، و وقتی که ملکه شد عبورکند. اگر ملکه نشد و آن وارده به‌عنوان حال بر او طلوع کرد، </w:t>
      </w:r>
      <w:r>
        <w:rPr>
          <w:rtl w:val="0"/>
          <w:lang w:val="fa-IR"/>
        </w:rPr>
        <w:t xml:space="preserve">الحالُ یزولُ، </w:t>
      </w:r>
      <w:r>
        <w:rPr>
          <w:rtl w:val="0"/>
          <w:lang w:val="fa-IR"/>
        </w:rPr>
        <w:t xml:space="preserve">«زائل می‌شود»؛ امّا اگر ملکه شد، ملکه زائل نمی‌شود. کسانی که ملکۀ خطّاطی دارند اگر بخوابند باز فردا هم خطّاط‌اند؛ امّا اگر امروز دستش را گرفتند و یک مشق نوشت، دو روز دیگر فراموش می‌کند و نمی‌تواند بنویسد. انسان در درجات معارف باید همین‌طور به خدا توکّل کند و مدام درجه بعد از درجه جلو برود تا به مقام شهود برسد.</w:t>
      </w:r>
    </w:p>
    <w:p>
      <w:pPr>
        <w:pStyle w:val="NaghlegholFarsiMatn++"/>
      </w:pPr>
      <w:r>
        <w:rPr>
          <w:rStyle w:val="Ayat2Matn++"/>
          <w:rtl w:val="0"/>
          <w:lang w:val="fa-IR"/>
        </w:rPr>
        <w:t xml:space="preserve">﴿وَ كَذَٰلِكَ نُرِيٓ إِبۡرَٰهِيمَ مَلَكُوتَ ٱلسَّمَٰوَٰتِ وَ ٱلۡأَرۡضِ وَ لِيَكُونَ مِنَ ٱلۡمُوقِنِينَ﴾</w:t>
      </w:r>
      <w:r>
        <w:rPr>
          <w:rtl w:val="0"/>
          <w:lang w:val="fa-IR"/>
        </w:rPr>
        <w:t xml:space="preserve">؛</w:t>
      </w:r>
      <w:r>
        <w:rPr>
          <w:rStyle w:val="FootnoteReference"/>
        </w:rPr>
        <w:footnoteReference w:id="11"/>
      </w:r>
      <w:r>
        <w:rPr>
          <w:rtl w:val="0"/>
          <w:lang w:val="fa-IR"/>
        </w:rPr>
        <w:t xml:space="preserve"> «ما به ابراهیم حقایق آسمان‌ها را [نشان می‌دهیم]، تا اینکه از موقنین باشد.»</w:t>
      </w:r>
    </w:p>
    <w:p>
      <w:pPr>
        <w:pStyle w:val="NaghlegholFarsiMatn++"/>
      </w:pPr>
      <w:r>
        <w:rPr>
          <w:rtl w:val="0"/>
          <w:lang w:val="fa-IR"/>
        </w:rPr>
        <w:t xml:space="preserve"> </w:t>
      </w:r>
      <w:r>
        <w:rPr>
          <w:rtl w:val="0"/>
          <w:lang w:val="fa-IR"/>
        </w:rPr>
        <w:t xml:space="preserve">وقتی که از علم‌الیقین و عین‌الیقین گذشت و به مقام یقین رسید و این یقین به آن درجۀ اعلایش که حقّ‌الیقین است رسید، دیگر در حقّ‌الیقین تشکیکی نیست. یک وقت انسان از دور آتشی را می‌بیند و علم دارد که آتش است، [این علم‌الیقین می‌شود]؛ یک وقت جلوتر می‌رود و آن حرارت آتش به او می‌خورد، این عین‌الیقین می‌شود. یک وقت آدم را در آتش می‌اندازند، مثل پروانه که خودش را به شعله می‌زند و سوخته می‌شود و روحش با شعله معیّت پیدا می‌کند و بدنش می‌افتد، این حقّ‌الیقین می‌شود. انسان باید در معرفت خدا حقّ‌الیقین پیدا کند و مدام جلو برود و تمام حجاب‌ها را بریزد، و باید از تمام اسماء و صفات عبور کند و به مقام شهود ذات برسد و در آنجا فانی بشود؛ و تازه: «در ره عشق از آن سوی فنا صد خطر است!»</w:t>
      </w:r>
      <w:r>
        <w:rPr>
          <w:rStyle w:val="FootnoteReference"/>
        </w:rPr>
        <w:footnoteReference w:id="12"/>
      </w:r>
    </w:p>
    <w:p>
      <w:pPr>
        <w:pStyle w:val="NaghlegholFarsiMatn++"/>
      </w:pPr>
      <w:r>
        <w:rPr>
          <w:rtl w:val="0"/>
          <w:lang w:val="fa-IR"/>
        </w:rPr>
        <w:t xml:space="preserve">النّاسُ کلُّهم هالِکون إلّا العالِمونَ؛ «همۀ مردم هالک‌اند مگر علما،»</w:t>
      </w:r>
    </w:p>
    <w:p>
      <w:pPr>
        <w:pStyle w:val="NaghlegholFarsiMatn++"/>
      </w:pPr>
      <w:r>
        <w:rPr>
          <w:rtl w:val="0"/>
          <w:lang w:val="fa-IR"/>
        </w:rPr>
        <w:t xml:space="preserve">و العالِمون کلُّهم هالِکون إلّا العامِلونَ؛ «همۀ علما هالک‌اند مگر آنها که اهل عمل‌اند،»</w:t>
      </w:r>
    </w:p>
    <w:p>
      <w:pPr>
        <w:pStyle w:val="NaghlegholFarsiMatn++"/>
      </w:pPr>
      <w:r>
        <w:rPr>
          <w:rtl w:val="0"/>
          <w:lang w:val="fa-IR"/>
        </w:rPr>
        <w:t xml:space="preserve">و العامِلون کلُّهم هالِکون إلّا الموقنون؛ «آن کسانی که اهل عمل‌اند همه هلاک می‌شوند مگر آن کسانی که اهل یقین‌اند و عملشان به آنها یقین داده است،»</w:t>
      </w:r>
    </w:p>
    <w:p>
      <w:pPr>
        <w:pStyle w:val="NaghlegholFarsiMatn++"/>
      </w:pPr>
      <w:r>
        <w:rPr>
          <w:rtl w:val="0"/>
          <w:lang w:val="fa-IR"/>
        </w:rPr>
        <w:t xml:space="preserve">و الموقنون کلُّهم هالِکون إلّا المُخلِصون؛ «آن کسانی که اهل یقین‌اند (یقین درجات دارد) هلاک می‌شوند مگر آن کسانی که مخلِص باشند و تمام کارهایشان براساس اخلاص باشد.»</w:t>
      </w:r>
    </w:p>
    <w:p>
      <w:pPr>
        <w:pStyle w:val="NaghlegholFarsiMatn++"/>
      </w:pPr>
      <w:r>
        <w:rPr>
          <w:rtl w:val="0"/>
          <w:lang w:val="fa-IR"/>
        </w:rPr>
        <w:t xml:space="preserve">و المُخلِصونَ فی خَطرٍ عظیمٍ؛</w:t>
      </w:r>
      <w:r>
        <w:rPr>
          <w:rStyle w:val="FootnoteReference"/>
        </w:rPr>
        <w:footnoteReference w:id="13"/>
      </w:r>
      <w:r>
        <w:rPr>
          <w:rtl w:val="0"/>
          <w:lang w:val="fa-IR"/>
        </w:rPr>
        <w:t xml:space="preserve"> «تازه مخلِص که شدند در خطر عظیمی هستند!»</w:t>
      </w:r>
    </w:p>
    <w:p>
      <w:pPr>
        <w:pStyle w:val="NaghlegholFarsiMatn++"/>
      </w:pPr>
      <w:r>
        <w:rPr>
          <w:rtl w:val="0"/>
          <w:lang w:val="fa-IR"/>
        </w:rPr>
        <w:t xml:space="preserve"> </w:t>
      </w:r>
      <w:r>
        <w:rPr>
          <w:rtl w:val="0"/>
          <w:lang w:val="fa-IR"/>
        </w:rPr>
        <w:t xml:space="preserve">باید از مخلِص عبور کنند و فتحه را بر سر و روی تاج مبارک بگذارند و مخلَصش کنند؛ آن کسانی که مخلَص می‌شوند خیلی خوش به حال آنهاست که دیگر شیطان به آنها دستبردی ندارد و طمعش را هم از آنها می‌برد.</w:t>
      </w:r>
      <w:r>
        <w:rPr>
          <w:rStyle w:val="FootnoteReference"/>
        </w:rPr>
        <w:footnoteReference w:id="14"/>
      </w:r>
      <w:r>
        <w:rPr>
          <w:rtl w:val="0"/>
          <w:lang w:val="fa-IR"/>
        </w:rPr>
        <w:t xml:space="preserve"> آنها در جایی هستند که خیلی خیلی جای خوبی است!</w:t>
      </w:r>
    </w:p>
    <w:p>
      <w:pPr>
        <w:pStyle w:val="NaghlegholFarsiMatn++"/>
      </w:pPr>
      <w:r>
        <w:rPr>
          <w:rtl w:val="0"/>
          <w:lang w:val="fa-IR"/>
        </w:rPr>
        <w:t xml:space="preserve"> </w:t>
      </w:r>
      <w:r>
        <w:rPr>
          <w:rtl w:val="0"/>
          <w:lang w:val="fa-IR"/>
        </w:rPr>
        <w:t xml:space="preserve">پس انسان تا به مرحلۀ مخلَصین نرسد، نمی‌تواند اعتماد و اطمینان به عمل خودش داشته باشد. بله، دیگر بعد از آن درجه ضلال نیست؛ امّا نه‌اینکه انسان باز هم خودش را از ضلال نجات بدهد، بلکه خدا دیگر انسان را گمراه نمی‌کند و او را به خودش وا نمی‌گذارد، درحالتی‌که خداست و اگر بخواهد، می‌تواند. انبیا و اولیا چون می‌دانستند قدرت فقط دست خداست و حول و قوّه از صفاتی است که خدا دارد، این‌همه در مقام عبودیّت و ادب بودند! و لذا همیشه التماس می‌کردند؛ نه‌اینکه بگویند: «حال که به آن مقام رسیدیم، دیگر اعتماد بر خود کنیم و خدا را رها کنیم؛ کسی نمی‌تواند ما را از آن مقام خارج کند!» این حرف‌ها نیست!</w:t>
      </w:r>
    </w:p>
    <w:p>
      <w:pPr>
        <w:pStyle w:val="Heading2"/>
      </w:pPr>
      <w:r>
        <w:rPr>
          <w:rtl w:val="0"/>
          <w:lang w:val="fa-IR"/>
        </w:rPr>
        <w:t xml:space="preserve">لزوم اکرام و اعزاز حالات وارده و اسماء و صفات نازله بر قلب انسان</w:t>
      </w:r>
    </w:p>
    <w:p>
      <w:pPr>
        <w:pStyle w:val="NaghlegholFarsiMatn++"/>
      </w:pPr>
      <w:r>
        <w:rPr>
          <w:rtl w:val="0"/>
          <w:lang w:val="fa-IR"/>
        </w:rPr>
        <w:t xml:space="preserve">فلا تَکفُر بی بَعد المعرفة؛ «پس بعد از اینکه مرا شناختی و درجات اسماء و صفات را طی کردی، به هر درجه‌ای که رسیدی آن درجه را محکم بگیر و رهایش نکن و به آن درجه نا سپاس مباش و آن درجه را کفران نکن و از آن حال و مقام پذیرایی کن!»</w:t>
      </w:r>
    </w:p>
    <w:p>
      <w:pPr>
        <w:pStyle w:val="NaghlegholFarsiMatn++"/>
      </w:pPr>
      <w:r>
        <w:rPr>
          <w:rtl w:val="0"/>
          <w:lang w:val="fa-IR"/>
        </w:rPr>
        <w:t xml:space="preserve"> </w:t>
      </w:r>
      <w:r>
        <w:rPr>
          <w:rtl w:val="0"/>
          <w:lang w:val="fa-IR"/>
        </w:rPr>
        <w:t xml:space="preserve">این حال، مهمانی خیلی عزیز و خیلی شریف و خیلی دل‌رنج و زود رنج است که در خانه وارد می‌شود، و همین‌که درب را دیر به رویش باز کنی می‌رود، همین‌که در خانه بیاید و پایش را نبوسی می‌رود، همین‌که در اطاق بیاید و دیر از او پذیرایی کنی فرار می‌کند و می‌رود! مثل آینه است که تاب آه ندارد و اگر به آن آه کنی لک می‌گیرد. حال و واردات این‌طور است؛ چون این واردات انسان، اسماء و صفات خداست و خدا هم غیور است و در جایی می‌آید که محلّ پذیرایی باشد، ولی آنجایی که ببیند قلب ساهی و غافل است، زود می‌رود.</w:t>
      </w:r>
    </w:p>
    <w:p>
      <w:pPr>
        <w:pStyle w:val="NaghlegholFarsiMatn++"/>
      </w:pPr>
      <w:r>
        <w:rPr>
          <w:rtl w:val="0"/>
          <w:lang w:val="fa-IR"/>
        </w:rPr>
        <w:t xml:space="preserve"> </w:t>
      </w:r>
      <w:r>
        <w:rPr>
          <w:rtl w:val="0"/>
          <w:lang w:val="fa-IR"/>
        </w:rPr>
        <w:t xml:space="preserve">پس اگر یک وقت حالی پیدا کردید، حال توجّهی، حال عبادتی، حال ندبه‌ای یا حال خلوصی، آن حال را خوب نگه دارید و محترم بشمارید و نگذارید که برود. نگه‌داشتنش هم به مراقبه است؛ اگر انسان معصیت نکند، از او ترک اولیٰ صادر نشود، غافل نشود و توجه به غیر خدا نکند، آن حال می‌ماند و کم‌کم ملکه می‌شود. ولی همین‌که غفلت پیدا کرد زود از بین می‌رود؛ حتّی اگر شما دائماً دنبالش کنید، دیگر به‌دست نمی‌آید! یک میلیون سال گذشت و رفت و دیگر به‌دست نمی‌آید! این همان کفران بعد از معرفت است؛ «بعد از اینکه مرا شناختی به من کافر نشو!» اگر آن درجه از معرفت را پیدا کردی و او را محترم شمردی، خدا به تو یک درجه بالاتر می‌دهد؛ چون:</w:t>
      </w:r>
    </w:p>
    <w:p>
      <w:pPr>
        <w:pStyle w:val="NaghlegholFarsiMatn++"/>
      </w:pP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5"/>
      </w:r>
      <w:r>
        <w:rPr>
          <w:rtl/>
          <w:lang w:val="fa-IR"/>
        </w:rPr>
        <w:t xml:space="preserve"> «اگر شکر کردید خدا این شکر را زیاد می‌کند، و اگر کفران نعمت کردید عذاب خدا شدید است (یعنی آن نعمت را از دست شما می‌گیرد).»</w:t>
      </w:r>
    </w:p>
    <w:p>
      <w:pPr>
        <w:pStyle w:val="NormalA++"/>
      </w:pPr>
      <w:r>
        <w:rPr>
          <w:rtl w:val="0"/>
          <w:lang w:val="fa-IR"/>
        </w:rPr>
        <w:t xml:space="preserve"> </w:t>
      </w:r>
      <w:r>
        <w:rPr>
          <w:rtl w:val="0"/>
          <w:lang w:val="fa-IR"/>
        </w:rPr>
        <w:t xml:space="preserve">نعمت منحصر به نان و جو و آبگوشت نیست، بلکه این حالاتی که خداوند می‌دهد، اینها نعمت است. شکرانه‌اش مواظبت کردن از آن و اطرافش را داشتن است تا اینکه سوراخ نشود، تاریک نشود و خللی به آنها وارد نشود، و با افرادی که اهل دنیا هستند برخورد نشود، و الاّ همین‌که با آنها برخورد کنید حال را می‌گیرند! اهل دنیا نفْس‌های سیاه و کثیفی مثل غول بیابانی دارند، همین‌که به آنها برخورد کنی و دل به آنها بدهی و سفرۀ دل را باز کنی، از آن افکار شیطانی خود </w:t>
      </w:r>
      <w:r>
        <w:rPr>
          <w:rtl w:val="0"/>
          <w:lang w:val="fa-IR"/>
        </w:rPr>
        <w:t xml:space="preserve">مِن حیثُ أنتم لا تَشعرون</w:t>
      </w:r>
      <w:r>
        <w:rPr>
          <w:rtl w:val="0"/>
          <w:lang w:val="fa-IR"/>
        </w:rPr>
        <w:t xml:space="preserve"> در قلبتان می‌ریزند. یک ساعت می‌نشینید و جلسه می‌گیرید و می‌خندید، امّا وقتی بلند می‌شوید می‌بینید که تاریک و سنگین هستید؛ می‌خواهید عبادت کنید، حال عبادت نیست؛ می‌خواهید ذکر بگویید، حال ذکر نیست؛ می‌روید قرآن بخوانید امّا می‌بینید که اصلاً نمی‌توانید قرآن بخوانید؛ چه شد و چه بلایی بر سرمان آمد؟! انسان خودش هم نمی‌داند! این همان دل دادن است؛ و این شخص از آن مهمان پذیرایی نکرده است.</w:t>
      </w:r>
    </w:p>
    <w:p>
      <w:pPr>
        <w:pStyle w:val="Heading2"/>
      </w:pPr>
      <w:r>
        <w:rPr>
          <w:rtl w:val="0"/>
          <w:lang w:val="fa-IR"/>
        </w:rPr>
        <w:t xml:space="preserve">مراقبه رکن اساسی سیر و سلوک</w:t>
      </w:r>
    </w:p>
    <w:p>
      <w:pPr>
        <w:pStyle w:val="NaghlegholFarsiMatn++"/>
      </w:pPr>
      <w:r>
        <w:rPr>
          <w:rtl w:val="0"/>
          <w:lang w:val="fa-IR"/>
        </w:rPr>
        <w:t xml:space="preserve"> </w:t>
      </w:r>
      <w:r>
        <w:rPr>
          <w:rtl w:val="0"/>
          <w:lang w:val="fa-IR"/>
        </w:rPr>
        <w:t xml:space="preserve">لذا می‌گویند: اُسّ و اصول پایه‌های راه، مراقبه است. اگر انسان مراقبه‌اش خوب بود پیشرفت می‌کند و اگر مراقبه‌اش خوب نبود، هرچقدر کار کند ضایع می‌شود. مراقبه در حکم پرهیز کردن مریض است. اگر مریضی که دوا می‌خورد پرهیز نکند، آقای دکتر می‌گوید: «آقا، دست نگه دار، دیگر کافی است!» اگر پرهیز نکند ممکن است آن دوایی که می‌خورد و آن غذای نا پرهیزی با هم ترکیب شوند و دست به دست همدیگر بدهند و آن مریض را بکشند. این دوا در صورتی خوب است که آن موانع و آن غذاها، ضدّ مرض و ضدّ این دوا نباشد. پرهیز یعنی معده را خالی کردن از آنچه ضدّ این مرض است. وقتی معده پاک شد دوا اثر می‌کند. مراقبه حکم پرهیز دارد.</w:t>
      </w:r>
    </w:p>
    <w:p>
      <w:pPr>
        <w:pStyle w:val="NaghlegholFarsiMatn++"/>
      </w:pPr>
      <w:r>
        <w:rPr>
          <w:rtl w:val="0"/>
          <w:lang w:val="fa-IR"/>
        </w:rPr>
        <w:t xml:space="preserve"> </w:t>
      </w:r>
      <w:r>
        <w:rPr>
          <w:rtl w:val="0"/>
          <w:lang w:val="fa-IR"/>
        </w:rPr>
        <w:t xml:space="preserve">مراقبه این است که انسان حواسش را جمع کند، دل به غیر خدا ندهد،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 دنبال آن خاطره بلند می‌شود و فکر می‌کند. شما امروز یک صحنه‌ای می‌بینید، شب خوابش را می‌بینید؛ چرا انسان این صحنه را ببیند تا اینکه خواب صحنه را ببیند؟! فکر خدا کند که شب خواب خدا را ببیند؛ و امثال اینها.</w:t>
      </w:r>
    </w:p>
    <w:p>
      <w:pPr>
        <w:pStyle w:val="NaghlegholFarsiMatn++"/>
      </w:pPr>
      <w:r>
        <w:rPr>
          <w:rtl w:val="0"/>
          <w:lang w:val="fa-IR"/>
        </w:rPr>
        <w:t xml:space="preserve"> </w:t>
      </w:r>
      <w:r>
        <w:rPr>
          <w:rtl w:val="0"/>
          <w:lang w:val="fa-IR"/>
        </w:rPr>
        <w:t xml:space="preserve">مراقبه هم‌چنین حفظ است و وقتی که حفظ شد، یک درجه بالاتر و بالاتر و بالاتر می‌رود تا اینکه برسد به آنجایی که باید برسد.</w:t>
      </w:r>
      <w:r>
        <w:rPr>
          <w:rStyle w:val="FootnoteReference"/>
        </w:rPr>
        <w:footnoteReference w:id="16"/>
      </w:r>
    </w:p>
    <w:p>
      <w:pPr>
        <w:pStyle w:val="Heading2"/>
      </w:pPr>
      <w:r>
        <w:rPr>
          <w:rtl w:val="0"/>
          <w:lang w:val="fa-IR"/>
        </w:rPr>
        <w:t xml:space="preserve">شدّت عذاب و عقوبت عالم کفران‌کننده نسبت به جاهل بی‌اطّلاع</w:t>
      </w:r>
    </w:p>
    <w:p>
      <w:pPr>
        <w:pStyle w:val="NaghlegholFarsiMatn++"/>
      </w:pPr>
      <w:r>
        <w:rPr>
          <w:rtl w:val="0"/>
          <w:lang w:val="fa-IR"/>
        </w:rPr>
        <w:t xml:space="preserve">فلا تَکفُر بی بَعد المعرفة، فلا تکونَنّ مِن الجاهلین؛ «اگر تو بعد از اینکه معرفت یافتی و مرا شناختی، کفران کنی و کافر بشوی، جاهل شده‌ای؛ بنابراین از جاهلین مباش!»</w:t>
      </w:r>
    </w:p>
    <w:p>
      <w:pPr>
        <w:pStyle w:val="NaghlegholFarsiMatn++"/>
      </w:pPr>
      <w:r>
        <w:rPr>
          <w:rtl w:val="0"/>
          <w:lang w:val="fa-IR"/>
        </w:rPr>
        <w:t xml:space="preserve"> </w:t>
      </w:r>
      <w:r>
        <w:rPr>
          <w:rtl w:val="0"/>
          <w:lang w:val="fa-IR"/>
        </w:rPr>
        <w:t xml:space="preserve">جاهل در مقابل عالم و عارف است؛ آن کسی که می‌فهمد معرفت دارد، و آن کسی که معرفت ندارد جاهل است. یک وقت انسان از اوّل جهل دارد؛ امّا یک وقت بعد از معرفت جهل دارد، این عذابش خیلی بیشتر است. لذا در روایات داریم که خداوند علیّ أعلیٰ در روز قیامت علمای غیر عامل را بیشتر از جهّال امّت بأضعاف مُضاعفة عذاب می‌کند؛</w:t>
      </w:r>
      <w:r>
        <w:rPr>
          <w:rStyle w:val="FootnoteReference"/>
        </w:rPr>
        <w:footnoteReference w:id="17"/>
      </w:r>
      <w:r>
        <w:rPr>
          <w:rtl w:val="0"/>
          <w:lang w:val="fa-IR"/>
        </w:rPr>
        <w:t xml:space="preserve"> زیرا که جاهل از اوّل خبر نداشته است امّا عالم غیر عامل، عالم جاهل بوده است و بعد از علم، خود را در مقام عمل به جهل زده است.</w:t>
      </w:r>
    </w:p>
    <w:p>
      <w:pPr>
        <w:pStyle w:val="NaghlegholFarsiMatn++"/>
      </w:pPr>
      <w:r>
        <w:rPr>
          <w:rtl w:val="0"/>
          <w:lang w:val="fa-IR"/>
        </w:rPr>
        <w:t xml:space="preserve"> </w:t>
      </w:r>
    </w:p>
    <w:p>
      <w:pPr>
        <w:pStyle w:val="NaghlegholFarsiMatn++"/>
      </w:pPr>
      <w:r>
        <w:rPr>
          <w:rtl w:val="0"/>
          <w:lang w:val="fa-IR"/>
        </w:rPr>
        <w:t xml:space="preserve">فلا تکونَنّ مِن الجاهلین؛ فإنّ الشّیءَ یکون مَع الشّیء؛ «از جاهلین مباش، چون شیء با شیء است!»</w:t>
      </w:r>
    </w:p>
    <w:p>
      <w:pPr>
        <w:pStyle w:val="NaghlegholFarsiMatn++"/>
      </w:pPr>
      <w:r>
        <w:rPr>
          <w:rtl w:val="0"/>
          <w:lang w:val="fa-IR"/>
        </w:rPr>
        <w:t xml:space="preserve"> </w:t>
      </w:r>
      <w:r>
        <w:rPr>
          <w:rtl w:val="0"/>
          <w:lang w:val="fa-IR"/>
        </w:rPr>
        <w:t xml:space="preserve">اگر به من معرفت پیدا کردی و برنگشتی، با من معیّت پیدا می‌کنی، یعنی با من یکی می‌شوی. و اگر بعد از معرفت، جاهل شدی، آن‌وقت تو با جهّال معیّت پیدا می‌کنی و با جهّال یکی می‌شوی؛ و جاهل، شیطان است و با شیطان یکی می‌شوی و معیّت پیدا می‌کنی. امّا اگر معرفت به خدا پیدا کردی، با خدا معیّت پیدا می‌کنی.</w:t>
      </w:r>
    </w:p>
    <w:p>
      <w:pPr>
        <w:pStyle w:val="NaghlegholFarsiMatn++"/>
      </w:pPr>
      <w:r>
        <w:rPr>
          <w:rStyle w:val="Ayat2Matn++"/>
          <w:rtl w:val="0"/>
          <w:lang w:val="fa-IR"/>
        </w:rPr>
        <w:t xml:space="preserve">﴿وَ هُوَ مَعَكُمۡ أَيۡنَ مَا كُنتُمۡ﴾</w:t>
      </w:r>
      <w:r>
        <w:rPr>
          <w:rtl w:val="0"/>
          <w:lang w:val="fa-IR"/>
        </w:rPr>
        <w:t xml:space="preserve">؛</w:t>
      </w:r>
      <w:r>
        <w:rPr>
          <w:rStyle w:val="FootnoteReference"/>
        </w:rPr>
        <w:footnoteReference w:id="18"/>
      </w:r>
      <w:r>
        <w:rPr>
          <w:rtl w:val="0"/>
          <w:lang w:val="fa-IR"/>
        </w:rPr>
        <w:t xml:space="preserve"> «هرجا شما باشید، خدا با شما است.»</w:t>
      </w:r>
    </w:p>
    <w:p>
      <w:pPr>
        <w:pStyle w:val="Heading2"/>
      </w:pPr>
      <w:r>
        <w:rPr>
          <w:rtl w:val="0"/>
          <w:lang w:val="fa-IR"/>
        </w:rPr>
        <w:t xml:space="preserve">کیفیّت اتّحاد و معیّت ادراکی موجودات با خدا</w:t>
      </w:r>
    </w:p>
    <w:p>
      <w:pPr>
        <w:pStyle w:val="NormalA++"/>
      </w:pPr>
      <w:r>
        <w:rPr>
          <w:rtl w:val="0"/>
          <w:lang w:val="fa-IR"/>
        </w:rPr>
        <w:t xml:space="preserve"> </w:t>
      </w:r>
      <w:r>
        <w:rPr>
          <w:rtl w:val="0"/>
          <w:lang w:val="fa-IR"/>
        </w:rPr>
        <w:t xml:space="preserve">این معیّت خدا با موجودات است. امّا آیا این موجودات هم با خدا معیّت دارند؟ البتّه که دارند، امّا معیّت تکوینی، نه معیّت ادراکی که آنها بفهمند با خدا یکی هستند؛ این معیّت در اثر معرفت پیدا می‌شود و این معیّت اصلاً یکی از خواصّ موجودات است. هر موجودی یک خاصّه‌اش این است که وقتی آن جنبه‌های </w:t>
      </w:r>
      <w:r>
        <w:rPr>
          <w:rtl w:val="0"/>
          <w:lang w:val="fa-IR"/>
        </w:rPr>
        <w:t xml:space="preserve">ما به الإمتیاز</w:t>
      </w:r>
      <w:r>
        <w:rPr>
          <w:rtl w:val="0"/>
          <w:lang w:val="fa-IR"/>
        </w:rPr>
        <w:t xml:space="preserve"> و خصائص شخصیّۀ خود را کنار بگذارد، معیّت پیدا می‌کند.</w:t>
      </w:r>
    </w:p>
    <w:p>
      <w:pPr>
        <w:pStyle w:val="NaghlegholFarsiMatn++"/>
      </w:pPr>
      <w:r>
        <w:rPr>
          <w:rtl w:val="0"/>
          <w:lang w:val="fa-IR"/>
        </w:rPr>
        <w:t xml:space="preserve"> </w:t>
      </w:r>
      <w:r>
        <w:rPr>
          <w:rtl w:val="0"/>
          <w:lang w:val="fa-IR"/>
        </w:rPr>
        <w:t xml:space="preserve">زید و عَمرو دو موجودند؛ زید این شکل را دارد و عمرو آن شکل را دارد، زید قدّش بلند است و عمرو کوتاه است، زید بدنش سفید است و عمرو سیاه است، زید زبانش عربی است و عمرو عجمی است؛ اگر این خصوصیّات از بین برود، آیا شما می‌توانید بگویید که زید و عمرو دو نفرند؟! دو نفر بودن زید و عمرو به اختلاف مشخِّصات آنها است، وقتی مشخِّصات از بین رفت دیگر دوئیّت نیست. دو موجود اگر آثار و خواصّ تشخّص خود را کنار گذاشتند، دیگر اینها دوتا نیستند.</w:t>
      </w:r>
    </w:p>
    <w:p>
      <w:pPr>
        <w:pStyle w:val="NaghlegholFarsiMatn++"/>
      </w:pPr>
      <w:r>
        <w:rPr>
          <w:rtl w:val="0"/>
          <w:lang w:val="fa-IR"/>
        </w:rPr>
        <w:t xml:space="preserve"> </w:t>
      </w:r>
      <w:r>
        <w:rPr>
          <w:rtl w:val="0"/>
          <w:lang w:val="fa-IR"/>
        </w:rPr>
        <w:t xml:space="preserve">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AshaarFarsiMatn++"/>
      </w:pPr>
      <w:r>
        <w:rPr>
          <w:rtl w:val="0"/>
          <w:lang w:val="fa-IR"/>
        </w:rPr>
        <w:t xml:space="preserve">أنا مَن أهویٰ و مَن أهویٰ أنا  ***  </w:t>
      </w:r>
      <w:r>
        <w:rPr>
          <w:rtl w:val="0"/>
          <w:lang w:val="fa-IR"/>
        </w:rPr>
        <w:t xml:space="preserve">نحنُ روحانِ حلَلنا بَدَنا</w:t>
      </w:r>
      <w:r>
        <w:rPr>
          <w:rStyle w:val="FootnoteReference"/>
        </w:rPr>
        <w:footnoteReference w:id="19"/>
      </w:r>
    </w:p>
    <w:p>
      <w:pPr>
        <w:pStyle w:val="NaghlegholFarsiMatn++"/>
      </w:pPr>
      <w:r>
        <w:rPr>
          <w:rtl w:val="0"/>
          <w:lang w:val="fa-IR"/>
        </w:rPr>
        <w:t xml:space="preserve"> </w:t>
      </w:r>
      <w:r>
        <w:rPr>
          <w:rtl w:val="0"/>
          <w:lang w:val="fa-IR"/>
        </w:rPr>
        <w:t xml:space="preserve">یعنی: «من آن کسی هستم که هوای او را دارم و آن کسی هم که من هوای او را دارم، او من است؛ من هیچم، دوتا نیستم، یکی هستم!»</w:t>
      </w:r>
    </w:p>
    <w:p>
      <w:pPr>
        <w:pStyle w:val="NaghlegholFarsiMatn++"/>
      </w:pPr>
      <w:r>
        <w:rPr>
          <w:rtl w:val="0"/>
          <w:lang w:val="fa-IR"/>
        </w:rPr>
        <w:t xml:space="preserve"> </w:t>
      </w:r>
      <w:r>
        <w:rPr>
          <w:rtl w:val="0"/>
          <w:lang w:val="fa-IR"/>
        </w:rPr>
        <w:t xml:space="preserve">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pStyle w:val="NaghlegholFarsiMatn++"/>
      </w:pPr>
      <w:r>
        <w:rPr>
          <w:rtl w:val="0"/>
          <w:lang w:val="fa-IR"/>
        </w:rPr>
        <w:t xml:space="preserve">شیعَتُنا منّا، خُلِقوا من فاضلِ طینَتِنا و عُجِنوا بماء وِلایتِنا، یحزَنونَ لحزنِنا</w:t>
      </w:r>
      <w:r>
        <w:rPr>
          <w:rtl w:val="0"/>
          <w:lang w:val="fa-IR"/>
        </w:rPr>
        <w:t xml:space="preserve"> </w:t>
      </w:r>
      <w:r>
        <w:rPr>
          <w:rtl w:val="0"/>
          <w:lang w:val="fa-IR"/>
        </w:rPr>
        <w:t xml:space="preserve">و یَفرحون لفَرَحِنا؛</w:t>
      </w:r>
      <w:r>
        <w:rPr>
          <w:rStyle w:val="FootnoteReference"/>
        </w:rPr>
        <w:footnoteReference w:id="20"/>
      </w:r>
      <w:r>
        <w:rPr>
          <w:rtl w:val="0"/>
          <w:lang w:val="fa-IR"/>
        </w:rPr>
        <w:t xml:space="preserve"> </w:t>
      </w:r>
      <w:r>
        <w:rPr>
          <w:rtl w:val="0"/>
          <w:lang w:val="fa-IR"/>
        </w:rPr>
        <w:t xml:space="preserve">«شیعیان ما از ما هستند و طینت آنها به آب ولایت ما خمیر شده است، و از جملۀ آثارشان این است که به حزن ما محزون می‌شوند و به سرور ما شاد می‌شوند.»</w:t>
      </w:r>
    </w:p>
    <w:p>
      <w:pPr>
        <w:pStyle w:val="NaghlegholFarsiMatn++"/>
      </w:pPr>
      <w:r>
        <w:rPr>
          <w:rtl w:val="0"/>
          <w:lang w:val="fa-IR"/>
        </w:rPr>
        <w:t xml:space="preserve"> </w:t>
      </w:r>
      <w:r>
        <w:rPr>
          <w:rtl w:val="0"/>
          <w:lang w:val="fa-IR"/>
        </w:rPr>
        <w:t xml:space="preserve">و این لازمۀ معیّت است.</w:t>
      </w:r>
    </w:p>
    <w:p>
      <w:pPr>
        <w:pStyle w:val="NaghlegholFarsiMatn++"/>
      </w:pPr>
      <w:r>
        <w:rPr>
          <w:rtl w:val="0"/>
          <w:lang w:val="fa-IR"/>
        </w:rPr>
        <w:t xml:space="preserve"> </w:t>
      </w:r>
      <w:r>
        <w:rPr>
          <w:rtl w:val="0"/>
          <w:lang w:val="fa-IR"/>
        </w:rPr>
        <w:t xml:space="preserve">شاعری این را خوب تشبیه کرده است ـ ولی من به‌دست نیاورده‌ام که اصل این شعر برای کیست؛ البتّه مرحوم صدرالمتألّهین در </w:t>
      </w:r>
      <w:r>
        <w:rPr>
          <w:rStyle w:val="EsmeKetab++"/>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AshaarArabiMatn++"/>
      </w:pPr>
      <w:r>
        <w:rPr>
          <w:rtl w:val="0"/>
          <w:lang w:val="fa-IR"/>
        </w:rPr>
        <w:t xml:space="preserve">رَقَّ الزُّجاج و رقّتِ الخَمرُ *** فَتَشابَها و تَشاکلَ الأمرُ</w:t>
      </w:r>
    </w:p>
    <w:p>
      <w:pPr>
        <w:pStyle w:val="AshaarArabiMatn++"/>
      </w:pPr>
      <w:r>
        <w:rPr>
          <w:rtl w:val="0"/>
          <w:lang w:val="fa-IR"/>
        </w:rPr>
        <w:t xml:space="preserve">فَکأنّما خَمرٌ و لا قَدَحٌ *** فَکأنّما قَدَحٌ و لا خَمرٌ</w:t>
      </w:r>
      <w:r>
        <w:rPr>
          <w:rStyle w:val="FootnoteReference"/>
        </w:rPr>
        <w:footnoteReference w:id="21"/>
      </w:r>
    </w:p>
    <w:p>
      <w:pPr>
        <w:pStyle w:val="NaghlegholFarsiMatn++"/>
      </w:pPr>
      <w:r>
        <w:rPr>
          <w:rtl w:val="0"/>
          <w:lang w:val="fa-IR"/>
        </w:rPr>
        <w:t xml:space="preserve"> </w:t>
      </w:r>
      <w:r>
        <w:rPr>
          <w:rtl w:val="0"/>
          <w:lang w:val="fa-IR"/>
        </w:rPr>
        <w:t xml:space="preserve">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 اینکه اصلاً شراب است و شیشه نیست و ظرف ندارد، و مثل 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pStyle w:val="NormalA++"/>
      </w:pPr>
      <w:r>
        <w:rPr>
          <w:rtl w:val="0"/>
          <w:lang w:val="fa-IR"/>
        </w:rPr>
        <w:t xml:space="preserve"> </w:t>
      </w:r>
      <w:r>
        <w:rPr>
          <w:rtl w:val="0"/>
          <w:lang w:val="fa-IR"/>
        </w:rPr>
        <w:t xml:space="preserve">رقّ الزّجاج</w:t>
      </w:r>
      <w:r>
        <w:rPr>
          <w:rtl w:val="0"/>
          <w:lang w:val="fa-IR"/>
        </w:rPr>
        <w:t xml:space="preserve">؛ «شیشه چقدر رقیق و صاف است و یک خط هم در آن نیست،» </w:t>
      </w:r>
      <w:r>
        <w:rPr>
          <w:rtl w:val="0"/>
          <w:lang w:val="fa-IR"/>
        </w:rPr>
        <w:t xml:space="preserve">و رَقَّت الخَمرُ؛ </w:t>
      </w:r>
      <w:r>
        <w:rPr>
          <w:rtl w:val="0"/>
          <w:lang w:val="fa-IR"/>
        </w:rPr>
        <w:t xml:space="preserve">«خمر هم خیلی پاک و صاف است،» </w:t>
      </w:r>
      <w:r>
        <w:rPr>
          <w:rtl w:val="0"/>
          <w:lang w:val="fa-IR"/>
        </w:rPr>
        <w:t xml:space="preserve">فتَشابَها؛ «و </w:t>
      </w:r>
      <w:r>
        <w:rPr>
          <w:rtl w:val="0"/>
          <w:lang w:val="fa-IR"/>
        </w:rPr>
        <w:t xml:space="preserve">این دوتا با هم مشتبه شده‌اند،» </w:t>
      </w:r>
      <w:r>
        <w:rPr>
          <w:rtl w:val="0"/>
          <w:lang w:val="fa-IR"/>
        </w:rPr>
        <w:t xml:space="preserve">و تَشاکلَ الأمرُ</w:t>
      </w:r>
      <w:r>
        <w:rPr>
          <w:rtl w:val="0"/>
          <w:lang w:val="fa-IR"/>
        </w:rPr>
        <w:t xml:space="preserve">؛ «امر مشکل شد.»</w:t>
      </w:r>
      <w:r>
        <w:rPr>
          <w:rtl w:val="0"/>
          <w:lang w:val="fa-IR"/>
        </w:rPr>
        <w:t xml:space="preserve"> فَکأنّما خمرٌ و لا قَدَحٌ؛ </w:t>
      </w:r>
      <w:r>
        <w:rPr>
          <w:rtl w:val="0"/>
          <w:lang w:val="fa-IR"/>
        </w:rPr>
        <w:t xml:space="preserve">«مثل اینکه شراب است و اصلاً قدحی نیست،» </w:t>
      </w:r>
      <w:r>
        <w:rPr>
          <w:rtl w:val="0"/>
          <w:lang w:val="fa-IR"/>
        </w:rPr>
        <w:t xml:space="preserve">فَکأنّما قَدَحٌ و لا خمرٌ؛ </w:t>
      </w:r>
      <w:r>
        <w:rPr>
          <w:rtl w:val="0"/>
          <w:lang w:val="fa-IR"/>
        </w:rPr>
        <w:t xml:space="preserve">«یا مثل اینکه قدح است و خمری نیست.»</w:t>
      </w:r>
    </w:p>
    <w:p>
      <w:pPr>
        <w:pStyle w:val="Heading2"/>
      </w:pPr>
      <w:r>
        <w:rPr>
          <w:rtl w:val="0"/>
          <w:lang w:val="fa-IR"/>
        </w:rPr>
        <w:t xml:space="preserve">آثار اتّحاد و اتّصال روحی</w:t>
      </w:r>
    </w:p>
    <w:p>
      <w:pPr>
        <w:pStyle w:val="NaghlegholFarsiMatn++"/>
      </w:pPr>
      <w:r>
        <w:rPr>
          <w:rtl w:val="0"/>
          <w:lang w:val="fa-IR"/>
        </w:rPr>
        <w:t xml:space="preserve"> </w:t>
      </w:r>
      <w:r>
        <w:rPr>
          <w:rtl w:val="0"/>
          <w:lang w:val="fa-IR"/>
        </w:rPr>
        <w:t xml:space="preserve">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pStyle w:val="NaghlegholFarsiMatn++"/>
      </w:pPr>
      <w:r>
        <w:rPr>
          <w:rtl w:val="0"/>
          <w:lang w:val="fa-IR"/>
        </w:rPr>
        <w:t xml:space="preserve"> </w:t>
      </w:r>
      <w:r>
        <w:rPr>
          <w:rtl w:val="0"/>
          <w:lang w:val="fa-IR"/>
        </w:rPr>
        <w:t xml:space="preserve">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pStyle w:val="NaghlegholFarsiMatn++"/>
      </w:pPr>
      <w:r>
        <w:rPr>
          <w:rtl w:val="0"/>
          <w:lang w:val="fa-IR"/>
        </w:rPr>
        <w:t xml:space="preserve">یا علی، لا یُبغِضُک إلّا منافقٌ أو کافرٌ؛</w:t>
      </w:r>
      <w:r>
        <w:rPr>
          <w:rStyle w:val="FootnoteReference"/>
        </w:rPr>
        <w:footnoteReference w:id="22"/>
      </w:r>
      <w:r>
        <w:rPr>
          <w:rtl w:val="0"/>
          <w:lang w:val="fa-IR"/>
        </w:rPr>
        <w:t xml:space="preserve"> «ای علی، مبغض تو نیست مگر منافق یا کافر!»</w:t>
      </w:r>
    </w:p>
    <w:p>
      <w:pPr>
        <w:pStyle w:val="NaghlegholFarsiMatn++"/>
      </w:pPr>
      <w:r>
        <w:rPr>
          <w:rtl w:val="0"/>
          <w:lang w:val="fa-IR"/>
        </w:rPr>
        <w:t xml:space="preserve"> </w:t>
      </w:r>
      <w:r>
        <w:rPr>
          <w:rtl w:val="0"/>
          <w:lang w:val="fa-IR"/>
        </w:rPr>
        <w:t xml:space="preserve">یعنی کسی که مبغض تو باشد مبغض من و مبغض خداست، و دشمن تو، دشمن خدا و دشمن من است؛ چون من و تو یکی هستیم!</w:t>
      </w:r>
    </w:p>
    <w:p>
      <w:pPr>
        <w:pStyle w:val="NaghlegholFarsiMatn++"/>
      </w:pPr>
      <w:r>
        <w:rPr>
          <w:rtl w:val="0"/>
          <w:lang w:val="fa-IR"/>
        </w:rPr>
        <w:t xml:space="preserve"> </w:t>
      </w:r>
      <w:r>
        <w:rPr>
          <w:rtl w:val="0"/>
          <w:lang w:val="fa-IR"/>
        </w:rPr>
        <w:t xml:space="preserve">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23"/>
      </w:r>
    </w:p>
    <w:p>
      <w:pPr>
        <w:pStyle w:val="NaghlegholFarsiMatn++"/>
      </w:pPr>
      <w:r>
        <w:rPr>
          <w:rtl w:val="0"/>
          <w:lang w:val="fa-IR"/>
        </w:rPr>
        <w:t xml:space="preserve"> </w:t>
      </w:r>
      <w:r>
        <w:rPr>
          <w:rtl w:val="0"/>
          <w:lang w:val="fa-IR"/>
        </w:rPr>
        <w:t xml:space="preserve">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pStyle w:val="NaghlegholFarsiMatn++"/>
      </w:pPr>
      <w:r>
        <w:rPr>
          <w:rtl w:val="0"/>
          <w:lang w:val="fa-IR"/>
        </w:rPr>
        <w:t xml:space="preserve"> </w:t>
      </w:r>
      <w:r>
        <w:rPr>
          <w:rtl/>
          <w:lang w:val="fa-IR"/>
        </w:rPr>
        <w:t xml:space="preserve">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AshaarFarsiMatn++"/>
      </w:pPr>
      <w:r>
        <w:rPr>
          <w:rtl w:val="0"/>
          <w:lang w:val="fa-IR"/>
        </w:rPr>
        <w:t xml:space="preserve">ترسم ای فصّاد اگر فصدم کنی *** نیشتر را بر رگ لیلی زنی</w:t>
      </w:r>
    </w:p>
    <w:p>
      <w:pPr>
        <w:pStyle w:val="AshaarFarsiMatn++"/>
      </w:pPr>
      <w:r>
        <w:rPr>
          <w:rtl w:val="0"/>
          <w:lang w:val="fa-IR"/>
        </w:rPr>
        <w:t xml:space="preserve">من کی‌ام؟ لیلی و لیلی کیست؟ من! *** ما یکی روحیم اندر دو بدن</w:t>
      </w:r>
      <w:r>
        <w:rPr>
          <w:rStyle w:val="FootnoteReference"/>
        </w:rPr>
        <w:footnoteReference w:id="24"/>
      </w:r>
    </w:p>
    <w:p>
      <w:pPr>
        <w:pStyle w:val="NaghlegholFarsiMatn++"/>
      </w:pPr>
      <w:r>
        <w:rPr>
          <w:rtl w:val="0"/>
          <w:lang w:val="fa-IR"/>
        </w:rPr>
        <w:t xml:space="preserve"> </w:t>
      </w:r>
      <w:r>
        <w:rPr>
          <w:rtl w:val="0"/>
          <w:lang w:val="fa-IR"/>
        </w:rPr>
        <w:t xml:space="preserve">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2"/>
      </w:pPr>
      <w:r>
        <w:rPr>
          <w:rtl w:val="0"/>
          <w:lang w:val="fa-IR"/>
        </w:rPr>
        <w:t xml:space="preserve">تأثیر محبّت در ایجاد معیّت و اتّحاد روحی</w:t>
      </w:r>
    </w:p>
    <w:p>
      <w:pPr>
        <w:pStyle w:val="RevayatFarsiMatn++"/>
      </w:pPr>
      <w:r>
        <w:rPr>
          <w:rtl w:val="0"/>
          <w:lang w:val="fa-IR"/>
        </w:rPr>
        <w:t xml:space="preserve"> </w:t>
      </w:r>
      <w:r>
        <w:rPr>
          <w:rtl w:val="0"/>
          <w:lang w:val="fa-IR"/>
        </w:rPr>
        <w:t xml:space="preserve">حال ببینیم در ارواح چه خبر است! پیغمبر در یک جملۀ مختصر فرمود: «</w:t>
      </w:r>
      <w:r>
        <w:rPr>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tl w:val="0"/>
          <w:lang w:val="fa-IR"/>
        </w:rPr>
        <w:t xml:space="preserve">!»</w:t>
      </w:r>
      <w:r>
        <w:rPr>
          <w:rStyle w:val="FootnoteReference"/>
        </w:rPr>
        <w:footnoteReference w:id="25"/>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RevayatFarsiMatn++"/>
      </w:pPr>
      <w:r>
        <w:rPr>
          <w:rtl w:val="0"/>
          <w:lang w:val="fa-IR"/>
        </w:rPr>
        <w:t xml:space="preserve">یا حارُ هَمدان مَن یمُت یَرَنی    ***    </w:t>
      </w:r>
      <w:r>
        <w:rPr>
          <w:rtl w:val="0"/>
          <w:lang w:val="fa-IR"/>
        </w:rPr>
        <w:t xml:space="preserve">مِن مُؤمِنٍ أو مُنافِقٍ قبلاً</w:t>
      </w:r>
      <w:r>
        <w:rPr>
          <w:rStyle w:val="FootnoteReference"/>
        </w:rPr>
        <w:footnoteReference w:id="26"/>
      </w:r>
      <w:r>
        <w:rPr>
          <w:rtl w:val="0"/>
          <w:lang w:val="fa-IR"/>
        </w:rPr>
        <w:t xml:space="preserve"> </w:t>
      </w:r>
      <w:r>
        <w:rPr>
          <w:rtl w:val="0"/>
          <w:lang w:val="fa-IR"/>
        </w:rPr>
        <w:t xml:space="preserve">«</w:t>
      </w:r>
      <w:r>
        <w:rPr>
          <w:rtl w:val="0"/>
          <w:lang w:val="fa-IR"/>
        </w:rPr>
        <w:t xml:space="preserve">ای حارث، بدان که هرکس وقتی از دنیا برود، مرا ملاقات می‌کند!</w:t>
      </w:r>
      <w:r>
        <w:rPr>
          <w:rtl w:val="0"/>
          <w:lang w:val="fa-IR"/>
        </w:rPr>
        <w:t xml:space="preserve">»</w:t>
      </w:r>
    </w:p>
    <w:p>
      <w:pPr>
        <w:pStyle w:val="NaghlegholFarsiMatn++"/>
      </w:pPr>
      <w:r>
        <w:rPr>
          <w:rtl w:val="0"/>
          <w:lang w:val="fa-IR"/>
        </w:rPr>
        <w:t xml:space="preserve"> </w:t>
      </w:r>
      <w:r>
        <w:rPr>
          <w:rtl w:val="0"/>
          <w:lang w:val="fa-IR"/>
        </w:rPr>
        <w:t xml:space="preserve">و مفصّل می‌گویند:</w:t>
      </w:r>
    </w:p>
    <w:p>
      <w:pPr>
        <w:pStyle w:val="NaghlegholFarsiMatn++"/>
      </w:pPr>
      <w:r>
        <w:rPr>
          <w:rtl w:val="0"/>
          <w:lang w:val="fa-IR"/>
        </w:rPr>
        <w:t xml:space="preserve">من به نار اشاره می‌کنم که چه کسی را بگیرد و چه کسی را رها کند، و به جنّت می‌گویم چه کسی را بگیرد!</w:t>
      </w:r>
    </w:p>
    <w:p>
      <w:pPr>
        <w:pStyle w:val="NaghlegholFarsiMatn++"/>
      </w:pPr>
      <w:r>
        <w:rPr>
          <w:rtl w:val="0"/>
          <w:lang w:val="fa-IR"/>
        </w:rPr>
        <w:t xml:space="preserve"> </w:t>
      </w:r>
      <w:r>
        <w:rPr>
          <w:rtl w:val="0"/>
          <w:lang w:val="fa-IR"/>
        </w:rPr>
        <w:t xml:space="preserve">در این روایت امیرالمؤمنین علیه السّلام به حارث می‌فرماید:</w:t>
      </w:r>
    </w:p>
    <w:p>
      <w:pPr>
        <w:pStyle w:val="NaghlegholFarsiMatn++"/>
      </w:pPr>
      <w:r>
        <w:rPr>
          <w:rtl w:val="0"/>
          <w:lang w:val="fa-IR"/>
        </w:rPr>
        <w:t xml:space="preserve">قال رسول اللَه صلّی اللَه علیه و آله و سلّم: «ألمَرءُ مع من أحَبَّ، و له ما اکتَسَبَ؛</w:t>
      </w:r>
      <w:r>
        <w:rPr>
          <w:rStyle w:val="FootnoteReference"/>
        </w:rPr>
        <w:footnoteReference w:id="27"/>
      </w:r>
      <w:r>
        <w:rPr>
          <w:rtl w:val="0"/>
          <w:lang w:val="fa-IR"/>
        </w:rPr>
        <w:t xml:space="preserve"> مرد با محبوبش معیّت دارد و یکی است، و هر آنچه کسب می‌کند و هر عملی که انجام می‌دهد، برای آن مرد است.»</w:t>
      </w:r>
    </w:p>
    <w:p>
      <w:pPr>
        <w:pStyle w:val="NaghlegholFarsiMatn++"/>
      </w:pPr>
      <w:r>
        <w:rPr>
          <w:rtl w:val="0"/>
          <w:lang w:val="fa-IR"/>
        </w:rPr>
        <w:t xml:space="preserve"> </w:t>
      </w:r>
      <w:r>
        <w:rPr>
          <w:rtl w:val="0"/>
          <w:lang w:val="fa-IR"/>
        </w:rPr>
        <w:t xml:space="preserve">یعنی با آن کسی که او را دوست دارد، معیّت دارد؛ معیّت دارد یعنی یکی است. این عبارت خیلی عجیب است!</w:t>
      </w:r>
    </w:p>
    <w:p>
      <w:pPr>
        <w:pStyle w:val="NaghlegholFarsiMatn++"/>
      </w:pPr>
      <w:r>
        <w:rPr>
          <w:rtl w:val="0"/>
          <w:lang w:val="fa-IR"/>
        </w:rPr>
        <w:t xml:space="preserve"> </w:t>
      </w:r>
      <w:r>
        <w:rPr>
          <w:rtl w:val="0"/>
          <w:lang w:val="fa-IR"/>
        </w:rPr>
        <w:t xml:space="preserve">جابر بن عبداللَه انصاری از پیغمبر روایت می‌کند:</w:t>
      </w:r>
    </w:p>
    <w:p>
      <w:pPr>
        <w:pStyle w:val="NaghlegholFarsiMatn++"/>
      </w:pPr>
      <w:r>
        <w:rPr>
          <w:rtl w:val="0"/>
          <w:lang w:val="fa-IR"/>
        </w:rPr>
        <w:t xml:space="preserve">شنیدم رسول خدا فرمود: «مَن أحَبَّ قومًا حُشِرَ معهم و من أحبَّ عملَ قومٍ أُشرِک فی عملِهم؛</w:t>
      </w:r>
      <w:r>
        <w:rPr>
          <w:rStyle w:val="FootnoteReference"/>
        </w:rPr>
        <w:footnoteReference w:id="28"/>
      </w:r>
      <w:r>
        <w:rPr>
          <w:rtl w:val="0"/>
          <w:lang w:val="fa-IR"/>
        </w:rPr>
        <w:t xml:space="preserve"> کسی که قومی را دوست داشته باشد از آنهاست، و کسی که به عمل قومی راضی باشد در عمل آنها شریک است.»</w:t>
      </w:r>
    </w:p>
    <w:p>
      <w:pPr>
        <w:pStyle w:val="NaghlegholFarsiMatn++"/>
      </w:pPr>
      <w:r>
        <w:rPr>
          <w:rtl w:val="0"/>
          <w:lang w:val="fa-IR"/>
        </w:rPr>
        <w:t xml:space="preserve"> </w:t>
      </w:r>
      <w:r>
        <w:rPr>
          <w:rtl w:val="0"/>
          <w:lang w:val="fa-IR"/>
        </w:rPr>
        <w:t xml:space="preserve">لذا این‌قدر آیات قرآن می‌گوید: </w:t>
      </w:r>
      <w:r>
        <w:rPr>
          <w:rStyle w:val="Ayat2Matn++"/>
          <w:rtl w:val="0"/>
          <w:lang w:val="fa-IR"/>
        </w:rPr>
        <w:t xml:space="preserve">﴿از يهود و نصاريٰ اجتناب كنيد؛ زيرا كسي كه آنها را دوست داشته باشد از آنها است!﴾</w:t>
      </w:r>
      <w:r>
        <w:rPr>
          <w:rStyle w:val="FootnoteReference"/>
        </w:rPr>
        <w:footnoteReference w:id="29"/>
      </w:r>
    </w:p>
    <w:p>
      <w:pPr>
        <w:pStyle w:val="NaghlegholFarsiMatn++"/>
      </w:pPr>
      <w:r>
        <w:rPr>
          <w:rtl w:val="0"/>
          <w:lang w:val="fa-IR"/>
        </w:rPr>
        <w:t xml:space="preserve"> </w:t>
      </w:r>
      <w:r>
        <w:rPr>
          <w:rtl w:val="0"/>
          <w:lang w:val="fa-IR"/>
        </w:rPr>
        <w:t xml:space="preserve">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RevayatFarsiMatn++"/>
      </w:pPr>
      <w:r>
        <w:rPr>
          <w:rtl w:val="0"/>
          <w:lang w:val="fa-IR"/>
        </w:rPr>
        <w:t xml:space="preserve"> </w:t>
      </w:r>
      <w:r>
        <w:rPr>
          <w:rtl w:val="0"/>
          <w:lang w:val="fa-IR"/>
        </w:rPr>
        <w:t xml:space="preserve">«</w:t>
      </w:r>
      <w:r>
        <w:rPr>
          <w:rtl w:val="0"/>
          <w:lang w:val="fa-IR"/>
        </w:rPr>
        <w:t xml:space="preserve">یا لَیتَنا کنّا مَعَک</w:t>
      </w:r>
      <w:r>
        <w:rPr>
          <w:rtl w:val="0"/>
          <w:lang w:val="fa-IR"/>
        </w:rPr>
        <w:t xml:space="preserve">؛</w:t>
      </w:r>
      <w:r>
        <w:rPr>
          <w:rStyle w:val="FootnoteReference"/>
        </w:rPr>
        <w:footnoteReference w:id="30"/>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tl w:val="0"/>
          <w:lang w:val="fa-IR"/>
        </w:rPr>
        <w:t xml:space="preserve">المرءُ مع مَن أحبَّ</w:t>
      </w:r>
      <w:r>
        <w:rPr>
          <w:rtl w:val="0"/>
          <w:lang w:val="fa-IR"/>
        </w:rPr>
        <w:t xml:space="preserve">.»</w:t>
      </w:r>
    </w:p>
    <w:p>
      <w:pPr>
        <w:pStyle w:val="AshaarFarsiMatn++"/>
      </w:pPr>
      <w:r>
        <w:rPr>
          <w:rtl w:val="0"/>
          <w:lang w:val="fa-IR"/>
        </w:rPr>
        <w:t xml:space="preserve">ای برادر تو همان اندیشه‌ای *** ما بقی تو استخوان و ریشه‌ای</w:t>
      </w:r>
    </w:p>
    <w:p>
      <w:pPr>
        <w:pStyle w:val="AshaarFarsiMatn++"/>
      </w:pPr>
      <w:r>
        <w:rPr>
          <w:rtl w:val="0"/>
          <w:lang w:val="fa-IR"/>
        </w:rPr>
        <w:t xml:space="preserve">گر بوَد اندیشه‌ات گُل، گلشنی *** گر تو خاری و هیمۀ گلخنی</w:t>
      </w:r>
      <w:r>
        <w:rPr>
          <w:rStyle w:val="FootnoteReference"/>
        </w:rPr>
        <w:footnoteReference w:id="31"/>
      </w:r>
    </w:p>
    <w:p>
      <w:pPr>
        <w:pStyle w:val="NaghlegholFarsiMatn++"/>
      </w:pPr>
      <w:r>
        <w:rPr>
          <w:rtl w:val="0"/>
          <w:lang w:val="fa-IR"/>
        </w:rPr>
        <w:t xml:space="preserve"> </w:t>
      </w:r>
      <w:r>
        <w:rPr>
          <w:rtl w:val="0"/>
          <w:lang w:val="fa-IR"/>
        </w:rPr>
        <w:t xml:space="preserve">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pStyle w:val="NaghlegholFarsiMatn++"/>
      </w:pPr>
      <w:r>
        <w:rPr>
          <w:rtl w:val="0"/>
          <w:lang w:val="fa-IR"/>
        </w:rPr>
        <w:t xml:space="preserve">فلا تکونَنَّ مِن الجاهلینَ، فإنّ الشّی‌ءَ یکونُ مع الشّی‌ء؛ «بعد از معرفت، از من سر مپیچ، و الاّ با جاهلین و با شیطان خواهی بود و با شیطان معیّت پیدا می‌کنی؛ چون شیء با شیء است.»</w:t>
      </w:r>
    </w:p>
    <w:p>
      <w:pPr>
        <w:pStyle w:val="NaghlegholFarsiMatn++"/>
      </w:pPr>
      <w:r>
        <w:rPr>
          <w:rtl w:val="0"/>
          <w:lang w:val="fa-IR"/>
        </w:rPr>
        <w:t xml:space="preserve"> </w:t>
      </w:r>
      <w:r>
        <w:rPr>
          <w:rtl w:val="0"/>
          <w:lang w:val="fa-IR"/>
        </w:rPr>
        <w:t xml:space="preserve">قال رسول‌اللَه صلّی اللَه علیه و آله و سلّم:</w:t>
      </w:r>
    </w:p>
    <w:p>
      <w:pPr>
        <w:pStyle w:val="NaghlegholFarsiMatn++"/>
      </w:pPr>
      <w:r>
        <w:rPr>
          <w:rtl w:val="0"/>
          <w:lang w:val="fa-IR"/>
        </w:rPr>
        <w:t xml:space="preserve">مَن أحبَّ حجَرًا حشَرهُ اللَه معه؛</w:t>
      </w:r>
      <w:r>
        <w:rPr>
          <w:rStyle w:val="FootnoteReference"/>
        </w:rPr>
        <w:footnoteReference w:id="32"/>
      </w:r>
      <w:r>
        <w:rPr>
          <w:rtl w:val="0"/>
          <w:lang w:val="fa-IR"/>
        </w:rPr>
        <w:t xml:space="preserve"> «کسی که سنگی را دوست داشته باشد، خدا روز قیامت او را با آن سنگ محشور می‌کند.» </w:t>
      </w:r>
      <w:r>
        <w:rPr>
          <w:rtl w:val="0"/>
          <w:lang w:val="fa-IR"/>
        </w:rPr>
        <w:t xml:space="preserve">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 خدای علیّ أعلیٰ عادل است و به ما اختیار هم داده است که: به دنبال هر کس که می‌خواهی بروی برو؛ اگر می‌خواهی به دنبال عمر بروی، با او محشور می‌شوی!</w:t>
      </w:r>
    </w:p>
    <w:p>
      <w:pPr>
        <w:pStyle w:val="AshaarFarsiMatn++"/>
      </w:pPr>
      <w:r>
        <w:rPr>
          <w:rtl w:val="0"/>
          <w:lang w:val="fa-IR"/>
        </w:rPr>
        <w:t xml:space="preserve">سنّی که روز حشر شفیعش عمر بوَد *** کوری عصا کش کور دگر بود</w:t>
      </w:r>
    </w:p>
    <w:p>
      <w:pPr>
        <w:pStyle w:val="NaghlegholFarsiMatn++"/>
      </w:pPr>
      <w:r>
        <w:rPr>
          <w:rtl w:val="0"/>
          <w:lang w:val="fa-IR"/>
        </w:rPr>
        <w:t xml:space="preserve"> </w:t>
      </w:r>
      <w:r>
        <w:rPr>
          <w:rtl w:val="0"/>
          <w:lang w:val="fa-IR"/>
        </w:rPr>
        <w:t xml:space="preserve">به هر 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 داری برو!»</w:t>
      </w:r>
    </w:p>
    <w:p>
      <w:pPr>
        <w:pStyle w:val="NaghlegholFarsiMatn++"/>
      </w:pPr>
      <w:r>
        <w:rPr>
          <w:rtl w:val="0"/>
          <w:lang w:val="fa-IR"/>
        </w:rPr>
        <w:t xml:space="preserve"> </w:t>
      </w:r>
      <w:r>
        <w:rPr>
          <w:rtl w:val="0"/>
          <w:lang w:val="fa-IR"/>
        </w:rPr>
        <w:t xml:space="preserve">این سیم تلگراف و سیم تلفن! نمرۀ آقا را می‌گیرد و تلفن می‌کند، همدان را می‌گیرد، کرمانشاه را می‌گیرد، شیراز را می‌گیرد، این‌طرف را می‌گیرد، آن‌طرف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2"/>
      </w:pPr>
      <w:r>
        <w:rPr>
          <w:rtl w:val="0"/>
          <w:lang w:val="fa-IR"/>
        </w:rPr>
        <w:t xml:space="preserve">هدایت رسول باطنی در راه فناء فی اللَه به‌واسطۀ معیّت با انوار طیّبه و طاهرۀ معصومین علیهم السّلام</w:t>
      </w:r>
    </w:p>
    <w:p>
      <w:pPr>
        <w:pStyle w:val="NaghlegholFarsiMatn++"/>
      </w:pPr>
      <w:r>
        <w:rPr>
          <w:rtl w:val="0"/>
          <w:lang w:val="fa-IR"/>
        </w:rPr>
        <w:t xml:space="preserve"> </w:t>
      </w:r>
      <w:r>
        <w:rPr>
          <w:rtl w:val="0"/>
          <w:lang w:val="fa-IR"/>
        </w:rPr>
        <w:t xml:space="preserve">صدر المتألّهین ـ رحمة اللَه علیه ـ در </w:t>
      </w:r>
      <w:r>
        <w:rPr>
          <w:rStyle w:val="EsmeKetab++"/>
          <w:rtl w:val="0"/>
          <w:lang w:val="fa-IR"/>
        </w:rPr>
        <w:t xml:space="preserve">أسفار</w:t>
      </w:r>
      <w:r>
        <w:rPr>
          <w:rtl w:val="0"/>
          <w:lang w:val="fa-IR"/>
        </w:rPr>
        <w:t xml:space="preserve"> بحث خیلی مهمی دارد و می‌گوید: «نفس انسانی، هیولانی است.»</w:t>
      </w:r>
      <w:r>
        <w:rPr>
          <w:rStyle w:val="FootnoteReference"/>
        </w:rPr>
        <w:footnoteReference w:id="33"/>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 .</w:t>
      </w:r>
    </w:p>
    <w:p>
      <w:pPr>
        <w:pStyle w:val="NaghlegholFarsiMatn++"/>
      </w:pPr>
      <w:r>
        <w:rPr>
          <w:rtl w:val="0"/>
          <w:lang w:val="fa-IR"/>
        </w:rPr>
        <w:t xml:space="preserve"> </w:t>
      </w:r>
      <w:r>
        <w:rPr>
          <w:rtl w:val="0"/>
          <w:lang w:val="fa-IR"/>
        </w:rPr>
        <w:t xml:space="preserve">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pStyle w:val="NaghlegholFarsiMatn++"/>
      </w:pPr>
      <w:r>
        <w:rPr>
          <w:rtl w:val="0"/>
          <w:lang w:val="fa-IR"/>
        </w:rPr>
        <w:t xml:space="preserve"> </w:t>
      </w:r>
      <w:r>
        <w:rPr>
          <w:rtl w:val="0"/>
          <w:lang w:val="fa-IR"/>
        </w:rPr>
        <w:t xml:space="preserve">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pStyle w:val="NaghlegholFarsiMatn++"/>
      </w:pPr>
      <w:r>
        <w:rPr>
          <w:rtl w:val="0"/>
          <w:lang w:val="fa-IR"/>
        </w:rPr>
        <w:t xml:space="preserve">فلا تَکفُر بی بَعد المعرفة، فلا تکونَنَّ مِن الجاهلینَ؛ «بعد از معرفت به من کافر</w:t>
      </w:r>
    </w:p>
    <w:p>
      <w:pPr>
        <w:pStyle w:val="NaghlegholFarsiMatn++"/>
      </w:pPr>
      <w:r>
        <w:rPr>
          <w:rtl w:val="0"/>
          <w:lang w:val="fa-IR"/>
        </w:rPr>
        <w:t xml:space="preserve"> </w:t>
      </w:r>
    </w:p>
    <w:p>
      <w:pPr>
        <w:pStyle w:val="NaghlegholFarsiMatn++"/>
      </w:pPr>
      <w:r>
        <w:rPr>
          <w:rtl w:val="0"/>
          <w:lang w:val="fa-IR"/>
        </w:rPr>
        <w:t xml:space="preserve">نشو، چون از جاهلین خواهی بود!»</w:t>
      </w:r>
    </w:p>
    <w:p>
      <w:pPr>
        <w:pStyle w:val="NaghlegholFarsiMatn++"/>
      </w:pPr>
      <w:r>
        <w:rPr>
          <w:rtl w:val="0"/>
          <w:lang w:val="fa-IR"/>
        </w:rPr>
        <w:t xml:space="preserve">فإنّ الشّیءَ یکونُ مع الشّیء؛ «شیء هم با شیء (با محبوبش) است.»</w:t>
      </w:r>
    </w:p>
    <w:p>
      <w:pPr>
        <w:pStyle w:val="NaghlegholFarsiMatn++"/>
      </w:pPr>
      <w:r>
        <w:rPr>
          <w:rtl w:val="0"/>
          <w:lang w:val="fa-IR"/>
        </w:rPr>
        <w:t xml:space="preserve"> </w:t>
      </w:r>
      <w:r>
        <w:rPr>
          <w:rtl w:val="0"/>
          <w:lang w:val="fa-IR"/>
        </w:rPr>
        <w:t xml:space="preserve">اگر از جاهلین باشی، با جهّال معیّت پیدا می‌کنی، و اگر کفران بعد از معرفت پیدا نکنی، با من معیّت پیدا می‌کنی.</w:t>
      </w:r>
    </w:p>
    <w:p>
      <w:pPr>
        <w:pStyle w:val="NaghlegholFarsiMatn++"/>
      </w:pPr>
      <w:r>
        <w:rPr>
          <w:rtl w:val="0"/>
          <w:lang w:val="fa-IR"/>
        </w:rPr>
        <w:t xml:space="preserve">مَن کان لِلّهِ کان اللَه له؛</w:t>
      </w:r>
      <w:r>
        <w:rPr>
          <w:rStyle w:val="FootnoteReference"/>
        </w:rPr>
        <w:footnoteReference w:id="34"/>
      </w:r>
      <w:r>
        <w:rPr>
          <w:rtl w:val="0"/>
          <w:lang w:val="fa-IR"/>
        </w:rPr>
        <w:t xml:space="preserve"> «کسی که برای خدا باشد، خدا برای اوست!»</w:t>
      </w:r>
    </w:p>
    <w:p>
      <w:pPr>
        <w:pStyle w:val="Heading2"/>
      </w:pPr>
      <w:r>
        <w:rPr>
          <w:rtl w:val="0"/>
          <w:lang w:val="fa-IR"/>
        </w:rPr>
        <w:t xml:space="preserve">وحدت اختیار و ارادۀ انسان با خدا به‌واسطۀ معیّت</w:t>
      </w:r>
    </w:p>
    <w:p>
      <w:pPr>
        <w:pStyle w:val="NaghlegholFarsiMatn++"/>
      </w:pPr>
      <w:r>
        <w:rPr>
          <w:rtl w:val="0"/>
          <w:lang w:val="fa-IR"/>
        </w:rPr>
        <w:t xml:space="preserve"> </w:t>
      </w:r>
      <w:r>
        <w:rPr>
          <w:rtl w:val="0"/>
          <w:lang w:val="fa-IR"/>
        </w:rPr>
        <w:t xml:space="preserve">«خدا برای اوست» خیلی معنا دارد؛ یعنی تمام اختیارات خودش را به دست او می‌سپرد؛ البته معنا این نیست، بلکه خدا بزرگ‌تر از آن است که اختیار را به 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pStyle w:val="NaghlegholFarsiMatn++"/>
      </w:pPr>
      <w:r>
        <w:rPr>
          <w:rtl w:val="0"/>
          <w:lang w:val="fa-IR"/>
        </w:rPr>
        <w:t xml:space="preserve"> </w:t>
      </w:r>
      <w:r>
        <w:rPr>
          <w:rtl w:val="0"/>
          <w:lang w:val="fa-IR"/>
        </w:rPr>
        <w:t xml:space="preserve">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2"/>
      </w:pPr>
      <w:r>
        <w:rPr>
          <w:rtl w:val="0"/>
          <w:lang w:val="fa-IR"/>
        </w:rPr>
        <w:t xml:space="preserve">حقیقت فناء فی اللَه</w:t>
      </w:r>
    </w:p>
    <w:p>
      <w:pPr>
        <w:pStyle w:val="NaghlegholFarsiMatn++"/>
      </w:pPr>
      <w:r>
        <w:rPr>
          <w:rtl w:val="0"/>
          <w:lang w:val="fa-IR"/>
        </w:rPr>
        <w:t xml:space="preserve"> </w:t>
      </w:r>
      <w:r>
        <w:rPr>
          <w:rtl w:val="0"/>
          <w:lang w:val="fa-IR"/>
        </w:rPr>
        <w:t xml:space="preserve">معیّتی که خدا با کسی پیدا می‌کند معیّتی نیست که دو چیز باشد و یک چیز بشود، بلکه باید یکی فانی بشود. این‌طور نیست که موجودات یک چیز علیٰ حدّه باشند و خدا هم یک چیز علیٰ حدّه باشد، تا اینکه انسان این دوتا را اختلاط و امتزاج کند؛ بلکه موجودات همه مظاهر خدا و ظهور خدا و نور خدا و جلوۀ خدا هستند، نه 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p>
    <w:p>
      <w:pPr>
        <w:pStyle w:val="NaghlegholFarsiMatn++"/>
      </w:pPr>
      <w:r>
        <w:rPr>
          <w:rtl w:val="0"/>
          <w:lang w:val="fa-IR"/>
        </w:rPr>
        <w:t xml:space="preserve"> </w:t>
      </w:r>
      <w:r>
        <w:rPr>
          <w:rtl w:val="0"/>
          <w:lang w:val="fa-IR"/>
        </w:rPr>
        <w:t xml:space="preserve">امیدواریم که به برکت خودِ خدا و به برکت اولیای خدا و ائمّۀ طاهرین و انبیایی که پروردگار علیّ أعلیٰ برای هدایت مردم فرستاده است، إن‌شاءاللَه قلب‌های ما را به‌سوی آنها بیش از این متوجّه کند، و ما را با ارواح آنها معیّت بدهد، و ما را با ارواح شیاطین و أبالسه و متکبّرین و مستکبرین و مغرورین معیّت ندهد؛ اگر ما با آنها معیّت پیدا کنیم که واویلا می‌شود، و وای به حال ما که با آنها معیّت پیدا کنیم! خداوند علیّ أعلیٰ روح‌های ما را با پاکان درگاه خود، با انبیا، با حضرت زهرا، با امیرالمؤمنین، با ائمّۀ اطهار و حضرت قائم معیّت بدهد؛ هرچه با آنها معیّت پیدا کنیم مبارک است، و هرچه جلو برویم آنجا خوشی و سرور و بهجت و نور و سبکی و نشاط است. امّا هرچه از این‌طرف معیّت پیدا بشود، غل و زنجیر و اصفاد و سرابیلِ قَطِران و حمیم و حدید و امثال اینهاست؛ ما واقعاً طاقت این چیزها را نداریم و باید خودمان را به خدا بسپاریم و بگوییم: خدایا، خودمان را به تو می‌سپاریم، تو این کار را بکن و ما را در همۀ عوالم با آنها معیّت بده، که اگر یک وقت پای ما لنگ بشود و فکر ما کَلّ و خسته بشود، إن‌شاءاللَه آنها به‌واسطۀ آن معیّت از ما دست‌گیری و شفاعت کنند و زیر بال ما را بگیرند و إن‌شاءاللَه ما را از ظلمات و اهواء و افکارِ به خود متوجّه‌کننده، نجات بدهند!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3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Style w:val="EsmeKetab++"/>
          <w:rtl w:val="0"/>
          <w:lang w:val="fa-IR"/>
        </w:rPr>
        <w:t xml:space="preserve">إقبال الأعمال</w:t>
      </w:r>
      <w:r>
        <w:rPr>
          <w:rtl w:val="0"/>
          <w:lang w:val="fa-IR"/>
        </w:rPr>
        <w:t xml:space="preserve">، ج ١، ص ٦٨، فرازی از دعای ابوحمزۀ ثمالی؛ با قدری اختلاف در مصادر.</w:t>
      </w:r>
    </w:p>
  </w:footnote>
  <w:footnote w:id="4">
    <w:p>
      <w:pPr>
        <w:pStyle w:val="FootnoteText"/>
      </w:pPr>
      <w:r>
        <w:rPr>
          <w:rStyle w:val="FootnoteReference"/>
        </w:rPr>
        <w:footnoteRef/>
      </w:r>
      <w:r>
        <w:t xml:space="preserve"> </w:t>
      </w:r>
      <w:r>
        <w:rPr>
          <w:rtl w:val="0"/>
          <w:lang w:val="fa-IR"/>
        </w:rPr>
        <w:t xml:space="preserve">سوره واقعه (٥٦) آیه ٧٩.</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المیزان</w:t>
      </w:r>
      <w:r>
        <w:rPr>
          <w:rtl w:val="0"/>
          <w:lang w:val="fa-IR"/>
        </w:rPr>
        <w:t xml:space="preserve">، ج ١٩، ص ١٣٧؛ </w:t>
      </w:r>
      <w:r>
        <w:rPr>
          <w:rStyle w:val="EsmeKetab++"/>
          <w:rtl w:val="0"/>
          <w:lang w:val="fa-IR"/>
        </w:rPr>
        <w:t xml:space="preserve">مفردات ألفاظ القرآن</w:t>
      </w:r>
      <w:r>
        <w:rPr>
          <w:rtl w:val="0"/>
          <w:lang w:val="fa-IR"/>
        </w:rPr>
        <w:t xml:space="preserve">، ص ٥٢٥.</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٤١.</w:t>
      </w:r>
    </w:p>
  </w:footnote>
  <w:footnote w:id="7">
    <w:p>
      <w:pPr>
        <w:pStyle w:val="FootnoteText"/>
      </w:pPr>
      <w:r>
        <w:rPr>
          <w:rStyle w:val="FootnoteReference"/>
        </w:rPr>
        <w:footnoteRef/>
      </w:r>
      <w:r>
        <w:t xml:space="preserve"> </w:t>
      </w:r>
      <w:r>
        <w:rPr>
          <w:rtl w:val="0"/>
          <w:lang w:val="fa-IR"/>
        </w:rPr>
        <w:t xml:space="preserve">سوره إخلاص (١١٢) آیه ١.</w:t>
      </w:r>
    </w:p>
  </w:footnote>
  <w:footnote w:id="8">
    <w:p>
      <w:pPr>
        <w:pStyle w:val="FootnoteText"/>
      </w:pPr>
      <w:r>
        <w:rPr>
          <w:rStyle w:val="FootnoteReference"/>
        </w:rPr>
        <w:footnoteRef/>
      </w:r>
      <w:r>
        <w:t xml:space="preserve"> </w:t>
      </w:r>
      <w:r>
        <w:rPr>
          <w:rtl w:val="0"/>
          <w:lang w:val="fa-IR"/>
        </w:rPr>
        <w:t xml:space="preserve">سوره قمر (٥٤) آیه ١٧: </w:t>
      </w:r>
      <w:r>
        <w:rPr>
          <w:rtl w:val="0"/>
          <w:lang w:val="fa-IR"/>
        </w:rPr>
        <w:t xml:space="preserve">﴿وَ لَقَدۡ يَسَّرۡنَا ٱلۡقُرۡءَانَ لِلذِّكۡرِ فَهَلۡ مِن مُّدَّكِرٖ﴾</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١٠٧.</w:t>
      </w:r>
    </w:p>
  </w:footnote>
  <w:footnote w:id="10">
    <w:p>
      <w:pPr>
        <w:pStyle w:val="FootnoteText"/>
      </w:pPr>
      <w:r>
        <w:rPr>
          <w:rStyle w:val="FootnoteReference"/>
        </w:rPr>
        <w:footnoteRef/>
      </w:r>
      <w:r>
        <w:t xml:space="preserve"> </w:t>
      </w:r>
      <w:r>
        <w:rPr>
          <w:rtl w:val="0"/>
          <w:lang w:val="fa-IR"/>
        </w:rPr>
        <w:t xml:space="preserve">سوره مائده (٥) آیه ١٣.</w:t>
      </w:r>
    </w:p>
  </w:footnote>
  <w:footnote w:id="11">
    <w:p>
      <w:pPr>
        <w:pStyle w:val="FootnoteText"/>
      </w:pPr>
      <w:r>
        <w:rPr>
          <w:rStyle w:val="FootnoteReference"/>
        </w:rPr>
        <w:footnoteRef/>
      </w:r>
      <w:r>
        <w:t xml:space="preserve"> </w:t>
      </w:r>
      <w:r>
        <w:rPr>
          <w:rtl w:val="0"/>
          <w:lang w:val="fa-IR"/>
        </w:rPr>
        <w:t xml:space="preserve">سوره أنعام (٦) آیه ٧٥.</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٤٠٧، غزل ٣١٤.</w:t>
      </w:r>
    </w:p>
  </w:footnote>
  <w:footnote w:id="13">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١٢، ص ١٤٦؛ </w:t>
      </w:r>
      <w:r>
        <w:rPr>
          <w:rStyle w:val="EsmeKetab++"/>
          <w:rtl w:val="0"/>
          <w:lang w:val="fa-IR"/>
        </w:rPr>
        <w:t xml:space="preserve">مصباح الشّریعة</w:t>
      </w:r>
      <w:r>
        <w:rPr>
          <w:rtl w:val="0"/>
          <w:lang w:val="fa-IR"/>
        </w:rPr>
        <w:t xml:space="preserve">، ص ٣٧؛ با قدری اختلاف در مصادر.</w:t>
      </w:r>
    </w:p>
  </w:footnote>
  <w:footnote w:id="14">
    <w:p>
      <w:pPr>
        <w:pStyle w:val="FootnoteText"/>
      </w:pPr>
      <w:r>
        <w:rPr>
          <w:rStyle w:val="FootnoteReference"/>
        </w:rPr>
        <w:footnoteRef/>
      </w:r>
      <w:r>
        <w:t xml:space="preserve"> </w:t>
      </w:r>
      <w:r>
        <w:rPr>
          <w:rtl w:val="0"/>
          <w:lang w:val="fa-IR"/>
        </w:rPr>
        <w:t xml:space="preserve">سوره حجر (١٥) آیه ٣٩ و ٤٠: </w:t>
      </w:r>
      <w:r>
        <w:rPr>
          <w:rtl w:val="0"/>
          <w:lang w:val="fa-IR"/>
        </w:rPr>
        <w:t xml:space="preserve">﴿قَالَ رَبِّ بِمَآ أَغۡوَيۡتَنِي لَأُزَيِّنَنَّ لَهُمۡ فِي ٱلۡأَرۡضِ وَ لَأُغۡوِيَنَّهُمۡ أَجۡمَعِينَ * إِلَّا عِبَادَكَ مِنۡهُمُ ٱلۡمُخۡلَصِينَ</w:t>
      </w:r>
      <w:r>
        <w:rPr>
          <w:rtl w:val="0"/>
          <w:lang w:val="fa-IR"/>
        </w:rPr>
        <w:t xml:space="preserve">﴾؛</w:t>
      </w:r>
    </w:p>
    <w:p>
      <w:pPr>
        <w:pStyle w:val="FootnoteText"/>
      </w:pPr>
      <w:r>
        <w:rPr>
          <w:rStyle w:val="EsmeKetab++"/>
          <w:rtl w:val="0"/>
          <w:lang w:val="fa-IR"/>
        </w:rPr>
        <w:t xml:space="preserve">الله شناسی</w:t>
      </w:r>
      <w:r>
        <w:rPr>
          <w:rtl w:val="0"/>
          <w:lang w:val="fa-IR"/>
        </w:rPr>
        <w:t xml:space="preserve">، ج ٣، ص ١٣١: «شيطان گفت: ”بار پروردگار من! در مقابل آنكه مرا إغوا كردى، من آنچه را كه در زمين است برايشان زينت مى‌دهم و من همگى آنان را اغواء خواهم نمود * مگر آن‌ بندگانت‌ را كه از آنها به خلوص رسيده‌اند و مخلَص شده‌اند!»</w:t>
      </w:r>
    </w:p>
    <w:p>
      <w:pPr>
        <w:pStyle w:val="FootnoteText"/>
      </w:pPr>
      <w:r>
        <w:rPr>
          <w:rtl w:val="0"/>
          <w:lang w:val="fa-IR"/>
        </w:rPr>
        <w:t xml:space="preserve">سوره ص (٣٨) آیه ٦٢ و ٦٣: </w:t>
      </w:r>
      <w:r>
        <w:rPr>
          <w:rtl w:val="0"/>
          <w:lang w:val="fa-IR"/>
        </w:rPr>
        <w:t xml:space="preserve">﴿قَالَ فَبِعِزَّتِكَ لَأُغۡوِيَنَّهُمۡ أَجۡمَعِينَ * إِلَّا عِبَادَكَ مِنۡهُمُ ٱلۡمُخۡلَصِينَ﴾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سوره ابراهیم (١٤) آیه ٧.</w:t>
      </w:r>
    </w:p>
  </w:footnote>
  <w:footnote w:id="16">
    <w:p>
      <w:pPr>
        <w:pStyle w:val="FootnoteText"/>
      </w:pPr>
      <w:r>
        <w:rPr>
          <w:rStyle w:val="FootnoteReference"/>
        </w:rPr>
        <w:footnoteRef/>
      </w:r>
      <w:r>
        <w:t xml:space="preserve"> </w:t>
      </w:r>
      <w:r>
        <w:rPr>
          <w:rtl w:val="0"/>
          <w:lang w:val="fa-IR"/>
        </w:rPr>
        <w:t xml:space="preserve">جهت اطّلاع بر اهمّیت رعایت مراقبه در سیر و سلوک إلی الله رجوع شود به </w:t>
      </w:r>
      <w:r>
        <w:rPr>
          <w:rStyle w:val="EsmeKetab++"/>
          <w:rtl w:val="0"/>
          <w:lang w:val="fa-IR"/>
        </w:rPr>
        <w:t xml:space="preserve">رسالۀ لبّ اللّباب</w:t>
      </w:r>
      <w:r>
        <w:rPr>
          <w:rtl w:val="0"/>
          <w:lang w:val="fa-IR"/>
        </w:rPr>
        <w:t xml:space="preserve">، ص ٣٠ و ١١٣؛ </w:t>
      </w:r>
      <w:r>
        <w:rPr>
          <w:rStyle w:val="EsmeKetab++"/>
          <w:rtl w:val="0"/>
          <w:lang w:val="fa-IR"/>
        </w:rPr>
        <w:t xml:space="preserve">آیین رستگاری</w:t>
      </w:r>
      <w:r>
        <w:rPr>
          <w:rtl w:val="0"/>
          <w:lang w:val="fa-IR"/>
        </w:rPr>
        <w:t xml:space="preserve">، ص ١٥٥.</w:t>
      </w:r>
    </w:p>
  </w:footnote>
  <w:footnote w:id="1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٤٤ و ٤٥ و ٤٧.</w:t>
      </w:r>
    </w:p>
  </w:footnote>
  <w:footnote w:id="18">
    <w:p>
      <w:pPr>
        <w:pStyle w:val="FootnoteText"/>
      </w:pPr>
      <w:r>
        <w:rPr>
          <w:rStyle w:val="FootnoteReference"/>
        </w:rPr>
        <w:footnoteRef/>
      </w:r>
      <w:r>
        <w:t xml:space="preserve"> </w:t>
      </w:r>
      <w:r>
        <w:rPr>
          <w:rtl w:val="0"/>
          <w:lang w:val="fa-IR"/>
        </w:rPr>
        <w:t xml:space="preserve">سوره حدید (٥٧) آیه ٤.</w:t>
      </w:r>
    </w:p>
  </w:footnote>
  <w:footnote w:id="19">
    <w:p>
      <w:pPr>
        <w:pStyle w:val="FootnoteText"/>
      </w:pPr>
      <w:r>
        <w:rPr>
          <w:rStyle w:val="FootnoteReference"/>
        </w:rPr>
        <w:footnoteRef/>
      </w:r>
      <w:r>
        <w:t xml:space="preserve"> </w:t>
      </w:r>
      <w:r>
        <w:rPr>
          <w:rStyle w:val="EsmeKetab++"/>
          <w:rtl w:val="0"/>
          <w:lang w:val="fa-IR"/>
        </w:rPr>
        <w:t xml:space="preserve">دیوان حلاّج</w:t>
      </w:r>
      <w:r>
        <w:rPr>
          <w:rtl w:val="0"/>
          <w:lang w:val="fa-IR"/>
        </w:rPr>
        <w:t xml:space="preserve">، ص ١٥٨.</w:t>
      </w:r>
    </w:p>
  </w:footnote>
  <w:footnote w:id="2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٥٣، ص ٣٠٣؛ </w:t>
      </w:r>
      <w:r>
        <w:rPr>
          <w:rStyle w:val="EsmeKetab++"/>
          <w:rtl w:val="0"/>
          <w:lang w:val="fa-IR"/>
        </w:rPr>
        <w:t xml:space="preserve">شجرة طوبیٰ</w:t>
      </w:r>
      <w:r>
        <w:rPr>
          <w:rtl w:val="0"/>
          <w:lang w:val="fa-IR"/>
        </w:rPr>
        <w:t xml:space="preserve">، حائری مازندرانی، ج ١، ص ٣.</w:t>
      </w:r>
    </w:p>
  </w:footnote>
  <w:footnote w:id="21">
    <w:p>
      <w:pPr>
        <w:pStyle w:val="FootnoteText"/>
      </w:pPr>
      <w:r>
        <w:rPr>
          <w:rStyle w:val="FootnoteReference"/>
        </w:rPr>
        <w:footnoteRef/>
      </w:r>
      <w:r>
        <w:t xml:space="preserve"> </w:t>
      </w:r>
      <w:r>
        <w:rPr>
          <w:rtl w:val="0"/>
          <w:lang w:val="fa-IR"/>
        </w:rPr>
        <w:t xml:space="preserve">حضرت علاّمه طهرانی ـ قدّس الله سرّه ـ در </w:t>
      </w:r>
      <w:r>
        <w:rPr>
          <w:rStyle w:val="EsmeKetab++"/>
          <w:rtl w:val="0"/>
          <w:lang w:val="fa-IR"/>
        </w:rPr>
        <w:t xml:space="preserve">الله شناسی</w:t>
      </w:r>
      <w:r>
        <w:rPr>
          <w:rtl w:val="0"/>
          <w:lang w:val="fa-IR"/>
        </w:rPr>
        <w:t xml:space="preserve">، ج ٢، ص ٢٨٨، به نقل از </w:t>
      </w:r>
      <w:r>
        <w:rPr>
          <w:rStyle w:val="EsmeKetab++"/>
          <w:rtl w:val="0"/>
          <w:lang w:val="fa-IR"/>
        </w:rPr>
        <w:t xml:space="preserve">أعیان الشیعة</w:t>
      </w:r>
      <w:r>
        <w:rPr>
          <w:rtl w:val="0"/>
          <w:lang w:val="fa-IR"/>
        </w:rPr>
        <w:t xml:space="preserve">، ج ١١، ص ٣٢٧؛ و </w:t>
      </w:r>
      <w:r>
        <w:rPr>
          <w:rStyle w:val="EsmeKetab++"/>
          <w:rtl w:val="0"/>
          <w:lang w:val="fa-IR"/>
        </w:rPr>
        <w:t xml:space="preserve">ریحانة الأدب</w:t>
      </w:r>
      <w:r>
        <w:rPr>
          <w:rtl w:val="0"/>
          <w:lang w:val="fa-IR"/>
        </w:rPr>
        <w:t xml:space="preserve">، ج ٨، ص ٩٣، این دو بیتی را از صاحب بن عبّاد می‌دانند. (محقّق)‌</w:t>
      </w:r>
    </w:p>
  </w:footnote>
  <w:footnote w:id="2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٤٧٢.</w:t>
      </w:r>
    </w:p>
  </w:footnote>
  <w:footnote w:id="2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٢٠؛ </w:t>
      </w:r>
      <w:r>
        <w:rPr>
          <w:rStyle w:val="EsmeKetab++"/>
          <w:rtl w:val="0"/>
          <w:lang w:val="fa-IR"/>
        </w:rPr>
        <w:t xml:space="preserve">تاریخ گزیده</w:t>
      </w:r>
      <w:r>
        <w:rPr>
          <w:rtl w:val="0"/>
          <w:lang w:val="fa-IR"/>
        </w:rPr>
        <w:t xml:space="preserve">، حمدالله مستوفی، ص ٦٣٠؛ با قدری اختلاف در مصادر.</w:t>
      </w:r>
    </w:p>
  </w:footnote>
  <w:footnote w:id="2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طبع میرخانی، دفتر پنجم، ص ٤٧٢.</w:t>
      </w:r>
    </w:p>
  </w:footnote>
  <w:footnote w:id="25">
    <w:p>
      <w:pPr>
        <w:pStyle w:val="FootnoteTextA++"/>
      </w:pPr>
      <w:r>
        <w:rPr>
          <w:rStyle w:val="FootnoteReference"/>
        </w:rPr>
        <w:footnoteRef/>
      </w:r>
      <w:r>
        <w:t xml:space="preserve"> </w:t>
      </w:r>
      <w:r>
        <w:rPr>
          <w:rStyle w:val="EsmeKetab++"/>
          <w:rtl w:val="0"/>
          <w:lang w:val="fa-IR"/>
        </w:rPr>
        <w:t xml:space="preserve">وقعة صفّین</w:t>
      </w:r>
      <w:r>
        <w:rPr>
          <w:rtl w:val="0"/>
          <w:lang w:val="fa-IR"/>
        </w:rPr>
        <w:t xml:space="preserve">، ص ٤٣٧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Style w:val="EsmeKetab++"/>
          <w:rtl w:val="0"/>
          <w:lang w:val="fa-IR"/>
        </w:rPr>
        <w:t xml:space="preserve">الأمالی</w:t>
      </w:r>
      <w:r>
        <w:rPr>
          <w:rtl w:val="0"/>
          <w:lang w:val="fa-IR"/>
        </w:rPr>
        <w:t xml:space="preserve">، شیخ مفید، ص ٧. (محقّق)</w:t>
      </w:r>
    </w:p>
  </w:footnote>
  <w:footnote w:id="2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٦٣٢؛ </w:t>
      </w:r>
      <w:r>
        <w:rPr>
          <w:rStyle w:val="EsmeKetab++"/>
          <w:rtl w:val="0"/>
          <w:lang w:val="fa-IR"/>
        </w:rPr>
        <w:t xml:space="preserve">الأمالی</w:t>
      </w:r>
      <w:r>
        <w:rPr>
          <w:rtl w:val="0"/>
          <w:lang w:val="fa-IR"/>
        </w:rPr>
        <w:t xml:space="preserve">، شیخ مفید، ص ٣ ـ ٧ و ١٣١؛ با قدری اختلاف در مصادر.</w:t>
      </w:r>
    </w:p>
  </w:footnote>
  <w:footnote w:id="28">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29">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ٱلنَّصَٰرَىٰٓ أَوۡلِيَآءَ بَعۡضُهُمۡ أَوۡلِيَآءُ بَعۡضٖ وَ مَن يَتَوَلَّهُم مِّنكُمۡ فَإِنَّهُۥ مِنۡهُمۡ﴾</w:t>
      </w:r>
      <w:r>
        <w:rPr>
          <w:rtl w:val="0"/>
          <w:lang w:val="fa-IR"/>
        </w:rPr>
        <w:t xml:space="preserve">؛</w:t>
      </w:r>
    </w:p>
    <w:p>
      <w:pPr>
        <w:pStyle w:val="FootnoteText"/>
      </w:pPr>
      <w:r>
        <w:rPr>
          <w:rtl w:val="0"/>
          <w:lang w:val="fa-IR"/>
        </w:rPr>
        <w:t xml:space="preserve">هم‌چنین رجوع شود به سوره آل عمران (٣) آیه ٢٨؛ سوره نساء (٤) آیه ٨٩ و ١٣٩ و ١٤٤؛ سوره مائده (٥) آیه ٥٧.</w:t>
      </w:r>
    </w:p>
  </w:footnote>
  <w:footnote w:id="30">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٢٣٧.</w:t>
      </w:r>
    </w:p>
  </w:footnote>
  <w:footnote w:id="3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١٩٢.</w:t>
      </w:r>
    </w:p>
  </w:footnote>
  <w:footnote w:id="3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 با قدری اختلاف.</w:t>
      </w:r>
    </w:p>
  </w:footnote>
  <w:footnote w:id="3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34">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٣٣؛ </w:t>
      </w:r>
      <w:r>
        <w:rPr>
          <w:rStyle w:val="EsmeKetab++"/>
          <w:rtl w:val="0"/>
          <w:lang w:val="fa-IR"/>
        </w:rPr>
        <w:t xml:space="preserve">کشف الأسرار</w:t>
      </w:r>
      <w:r>
        <w:rPr>
          <w:rtl w:val="0"/>
          <w:lang w:val="fa-IR"/>
        </w:rPr>
        <w:t xml:space="preserve">، میبدی، ج ١، ص ٥٦٣؛ </w:t>
      </w:r>
      <w:r>
        <w:rPr>
          <w:rStyle w:val="EsmeKetab++"/>
          <w:rtl w:val="0"/>
          <w:lang w:val="fa-IR"/>
        </w:rPr>
        <w:t xml:space="preserve">بحار الأنوار</w:t>
      </w:r>
      <w:r>
        <w:rPr>
          <w:rtl w:val="0"/>
          <w:lang w:val="fa-IR"/>
        </w:rPr>
        <w:t xml:space="preserve">، ج ٧٩،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