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هو العلیم</w:t>
      </w:r>
    </w:p>
    <w:p>
      <w:pPr/>
      <w:r>
        <w:rPr>
          <w:rtl w:val="0"/>
          <w:lang w:val="fa-IR"/>
        </w:rPr>
        <w:t xml:space="preserve"> </w:t>
      </w:r>
    </w:p>
    <w:p>
      <w:pPr>
        <w:pStyle w:val="Title"/>
      </w:pPr>
      <w:r>
        <w:rPr>
          <w:rtl w:val="0"/>
          <w:lang w:val="fa-IR"/>
        </w:rPr>
        <w:t xml:space="preserve">استیذان طائفه جنّ از سید الشّهداء براى کارزار، و بیان حضرت در جواب ایشان‌</w:t>
      </w:r>
    </w:p>
    <w:p>
      <w:pPr/>
      <w:r>
        <w:rPr>
          <w:rtl w:val="0"/>
          <w:lang w:val="fa-IR"/>
        </w:rPr>
        <w:t xml:space="preserve"> </w:t>
      </w:r>
    </w:p>
    <w:p>
      <w:pPr>
        <w:pStyle w:val="VasatChinFarsi++"/>
      </w:pPr>
      <w:r>
        <w:rPr>
          <w:rtl w:val="0"/>
          <w:lang w:val="fa-IR"/>
        </w:rPr>
        <w:t xml:space="preserve">حضرت علامه آیة اللَه حاج سید محمد حسین حسینی طهرانی</w:t>
      </w:r>
    </w:p>
    <w:p>
      <w:pPr/>
      <w:r>
        <w:rPr>
          <w:rtl w:val="0"/>
          <w:lang w:val="fa-IR"/>
        </w:rPr>
        <w:t xml:space="preserve"> </w:t>
      </w:r>
    </w:p>
    <w:p>
      <w:pPr>
        <w:pStyle w:val="VasatChinFarsi++"/>
      </w:pPr>
      <w:r>
        <w:rPr>
          <w:rtl w:val="0"/>
          <w:lang w:val="fa-IR"/>
        </w:rPr>
        <w:t xml:space="preserve">الله شناسی، جلد 1</w:t>
      </w:r>
    </w:p>
    <w:p>
      <w:pPr/>
      <w:r>
        <w:br w:type="page"/>
      </w:r>
    </w:p>
    <w:p>
      <w:pPr>
        <w:pStyle w:val="NormalA++"/>
      </w:pPr>
      <w:r>
        <w:rPr>
          <w:rtl w:val="0"/>
          <w:lang w:val="fa-IR"/>
        </w:rPr>
        <w:t xml:space="preserve">آیة اللَه شوشترى أعلى اللَه مقامه آورده است که: چون حضرت امام حسین علیه السّلام به سوى مدینه سیر مى‌کرد و گروه جنّ به حضورش مشرّف شدند، حسین علیه السّلام مرثیه خوانى مى‌کرد و مستمع فقط آن دسته بودند. و شرح آن بدینگونه مى‌باشد که: هنگامیکه دستجات مسلمان جنّ به نزد وى آمدند و گفتند: </w:t>
      </w:r>
      <w:r>
        <w:rPr>
          <w:rtl w:val="0"/>
          <w:lang w:val="fa-IR"/>
        </w:rPr>
        <w:t xml:space="preserve">یا سَیدَنَا! نَحْنُ شِیعَتُک وَ أَنْصَارُک، فَمُرْنَا بِأَمْرِک وَ مَا تَشَآءُ! وَ لَوْ أَمَرْتَنَا بِقَتْلِ کلِّ عَدُوٍّ لَک وَ أَنْتَ بِمَکانِک، لَکفَینَاک‌ ذَلِک!</w:t>
      </w:r>
    </w:p>
    <w:p>
      <w:pPr/>
      <w:r>
        <w:rPr>
          <w:rtl w:val="0"/>
          <w:lang w:val="fa-IR"/>
        </w:rPr>
        <w:t xml:space="preserve">«اى سید و سالار ما! ما شیعیان و یاران تو هستیم، هر چه مى‌خواهى به ما امر کنى امر کن! و اگر ما را امر نمایى به کشتن جمیع دشمنانت، هر آینه ما تو را در این امر کفایت مى‌کنیم در حالیکه تو بر سر جاى خودت باقى بوده باشى و تکان هم نخورى‌»!</w:t>
      </w:r>
    </w:p>
    <w:p>
      <w:pPr>
        <w:pStyle w:val="NormalA++"/>
      </w:pPr>
      <w:r>
        <w:rPr>
          <w:rtl w:val="0"/>
          <w:lang w:val="fa-IR"/>
        </w:rPr>
        <w:t xml:space="preserve">جَزَاهُمُ الْحُسَینُ عَلَیهِ السَّلامُ خَیرًا وَ قَالَ لَهُمْ:</w:t>
      </w:r>
      <w:r>
        <w:rPr>
          <w:rStyle w:val="RevayatArabi++"/>
          <w:rtl w:val="0"/>
          <w:lang w:val="fa-IR"/>
        </w:rPr>
        <w:t xml:space="preserve"> أَوَ مَا قَرَأْتُمْ کتَابَ اللَه الْمُنْزَلَ عَلَى جَدِّى رَسُولِ اللَه صَلَّى اللَه عَلَیهِ وَ ءَالِهِ:</w:t>
      </w:r>
    </w:p>
    <w:p>
      <w:pPr/>
      <w:r>
        <w:rPr>
          <w:rStyle w:val="Ayat2Matn++"/>
          <w:rtl w:val="0"/>
          <w:lang w:val="fa-IR"/>
        </w:rPr>
        <w:t xml:space="preserve">﴿أَينَمَا تَكونُوا يدْرِككمُ الْمَوْتُ وَ لَوْ كنتُمْ فِى بُرُوجٍ مُّشَيدَةٍ﴾</w:t>
      </w:r>
      <w:r>
        <w:rPr>
          <w:rtl w:val="0"/>
          <w:lang w:val="fa-IR"/>
        </w:rPr>
        <w:t xml:space="preserve"> </w:t>
      </w:r>
      <w:r>
        <w:rPr>
          <w:rStyle w:val="FootnoteReference"/>
        </w:rPr>
        <w:footnoteReference w:id="1"/>
      </w:r>
    </w:p>
    <w:p>
      <w:pPr/>
      <w:r>
        <w:rPr>
          <w:rtl w:val="0"/>
          <w:lang w:val="fa-IR"/>
        </w:rPr>
        <w:t xml:space="preserve">«پس حسین علیه السّلام آنها را به جزاى خیر پاسخ داده و فرمود: آیا نخوانده‌اید کتاب خدا را که بر جدّم رسول اللَه صلّى اللَه و علیه و آله نازل شده است: هر کجا بوده باشید، مرگ شما را در مى‌گیرد و گرچه در قلعه‌ها و قصرهاى مستحکم باشید!»؟</w:t>
      </w:r>
    </w:p>
    <w:p>
      <w:pPr/>
      <w:r>
        <w:rPr>
          <w:rtl w:val="0"/>
          <w:lang w:val="fa-IR"/>
        </w:rPr>
        <w:t xml:space="preserve">و خداوند سبحانه مى‌فرماید: </w:t>
      </w:r>
      <w:r>
        <w:rPr>
          <w:rStyle w:val="Ayat2Matn++"/>
          <w:rtl w:val="0"/>
          <w:lang w:val="fa-IR"/>
        </w:rPr>
        <w:t xml:space="preserve">﴿لَبَرَزَ الَّذِينَ كتِبَ عَلَيهِمُ الْقَتْلَ إِلَى‌ مَضَاجِعِهِمْ﴾.</w:t>
      </w:r>
      <w:r>
        <w:rPr>
          <w:rStyle w:val="FootnoteReference"/>
        </w:rPr>
        <w:footnoteReference w:id="2"/>
      </w:r>
    </w:p>
    <w:p>
      <w:pPr/>
      <w:r>
        <w:rPr>
          <w:rtl w:val="0"/>
          <w:lang w:val="fa-IR"/>
        </w:rPr>
        <w:t xml:space="preserve">«تحقیقاً کسانیکه در سرنوشتشان کشته شدن آمده است، به سوى خوابگاهها و فرودگاههاى خودشان ظاهر و بارز خواهند گشت.»</w:t>
      </w:r>
    </w:p>
    <w:p>
      <w:pPr/>
      <w:r>
        <w:rPr>
          <w:rStyle w:val="RevayatArabi++"/>
          <w:rtl w:val="0"/>
          <w:lang w:val="fa-IR"/>
        </w:rPr>
        <w:t xml:space="preserve">وَ إذَا أَقَمْتُ بِمَکانِى فَبِمَاذَا یبْتَلَى هَذَا الْخَلْقُ الْمَتْعُوس وَ بِمَاذَا یخْتَبَرُونَ؟! وَ مَنْ ذَا یکونُ سَاکنَ حُفْرَتِى بِکرْبَلَا؟ وَ قَدِ اخْتَارَهَا اللَه یوْمَ‌ دَحَى الارْضَ وَ جَعَلَهُ مَعْقِلًا لِشِیعَتِنَا، وَ یکونُ لَهُمْ أَمَانًا فِى الدُّنْیا وَ الاخِرَةِ!</w:t>
      </w:r>
    </w:p>
    <w:p>
      <w:pPr/>
      <w:r>
        <w:rPr>
          <w:rStyle w:val="RevayatArabi++"/>
          <w:rtl w:val="0"/>
          <w:lang w:val="fa-IR"/>
        </w:rPr>
        <w:t xml:space="preserve">وَ لَکنْ تَحْضُرُونَ یوْمَ السَّبْتِ وَ هُوَ یوْمُ عَاشُورَا الَّذِى فِى ءَاخِرِهِ أُقْتَلُ، وَ لَا یبْقَى بَعْدِى مَطْلُوبٌ مِنْ أَهْلِى! وَ تُسْبَى أَخَوَاتِى وَ أَهْلُ بَیتِى، وَ یسَارُ بِرَأْسِى إلَى یزِیدَ لَعَنَهُ اللَه!</w:t>
      </w:r>
    </w:p>
    <w:p>
      <w:pPr/>
      <w:r>
        <w:rPr>
          <w:rtl w:val="0"/>
          <w:lang w:val="fa-IR"/>
        </w:rPr>
        <w:t xml:space="preserve">«و اگر من در مکان خود درنگ نمایم، پس به چه چیز این خلق واژگون و به روى خود بر زمین افکنده شده آزمایش شوند؟! و به چه چیز از عهده امتحان برآیند یا بر نیایند؟! و آن کس که در حفره و قبر من در کربلا بخوابد و ساکن شود چه کس خواهد بود؟ در حالتیکه خداوند آن خوابگاه را از روزیکه زمین را گسترانید اختیار و انتخاب فرموده است، و آنجا را پناهگاه شیعیان ما قرار داده است، و براى ایشان محلّ امان است چه در دنیا و چه در آخرت!</w:t>
      </w:r>
    </w:p>
    <w:p>
      <w:pPr/>
      <w:r>
        <w:rPr>
          <w:rtl w:val="0"/>
          <w:lang w:val="fa-IR"/>
        </w:rPr>
        <w:t xml:space="preserve">ولیکن شما در روز شنبه که روز عاشورا مى‌باشد حضور بهم رسانید، آن روزیکه در آخر آن روز من کشته مى‌شوم و پس از من دیگر احدى از اهل بیت من باقى نخواهد ماند! و خواهران من و اهل بیت من اسیر خواهند شد، و سر مرا به سوى یزید لعنه اللَه خواهند برد!»</w:t>
      </w:r>
    </w:p>
    <w:p>
      <w:pPr/>
      <w:r>
        <w:rPr>
          <w:rtl w:val="0"/>
          <w:lang w:val="fa-IR"/>
        </w:rPr>
        <w:t xml:space="preserve">طائفه جنّ گفتند: اى حبیب خدا و اى پسر حبیب خدا! اگر اطاعت امر تو بر ما واجب نبود و مخالفت تو بر ما جائز بود، تحقیقاً ما جمیع دشمنانت را پیش از آنکه به تو دسترسى پیدا کنند به قتل مى‌رساندیم.</w:t>
      </w:r>
    </w:p>
    <w:p>
      <w:pPr/>
      <w:r>
        <w:rPr>
          <w:rtl w:val="0"/>
          <w:lang w:val="fa-IR"/>
        </w:rPr>
        <w:t xml:space="preserve">حضرت امام حسین صلوات اللَه علیه به ایشان گفت:</w:t>
      </w:r>
    </w:p>
    <w:p>
      <w:pPr/>
      <w:r>
        <w:rPr>
          <w:rStyle w:val="RevayatArabi++"/>
          <w:rtl w:val="0"/>
          <w:lang w:val="fa-IR"/>
        </w:rPr>
        <w:t xml:space="preserve">نَحْنُ وَ اللَه أَقْدَرُ عَلَیهِمْ مِنْکمْ، وَ لَکنْ</w:t>
      </w:r>
      <w:r>
        <w:rPr>
          <w:rtl w:val="0"/>
          <w:lang w:val="fa-IR"/>
        </w:rPr>
        <w:t xml:space="preserve"> </w:t>
      </w:r>
      <w:r>
        <w:rPr>
          <w:rStyle w:val="Ayat2Matn++"/>
          <w:rtl w:val="0"/>
          <w:lang w:val="fa-IR"/>
        </w:rPr>
        <w:t xml:space="preserve">﴿لِّيَهۡلِكَ مَنۡ هَلَكَ عَنۢ بَيِّنَةٖ وَيَحۡيَىٰ مَنۡ حَيَّ عَنۢ بَيِّنَةٖ﴾.</w:t>
      </w:r>
      <w:r>
        <w:rPr>
          <w:rtl w:val="0"/>
          <w:lang w:val="fa-IR"/>
        </w:rPr>
        <w:t xml:space="preserve"> </w:t>
      </w:r>
      <w:r>
        <w:rPr>
          <w:rStyle w:val="FootnoteReference"/>
        </w:rPr>
        <w:footnoteReference w:id="3"/>
      </w:r>
    </w:p>
    <w:p>
      <w:pPr/>
      <w:r>
        <w:rPr>
          <w:rtl/>
          <w:lang w:val="fa-IR"/>
        </w:rPr>
        <w:t xml:space="preserve">«سوگند به خدا که ما براى نابودى آنان قدرتمان از شما بیشتر مى‌باشد، ولیکن باید کسانیکه هلاک مى‌شوند از روى حجّت و دلیل باشد؛ و کسانیکه زندگانى مى‌یابند نیز از روى حجّت و دلیل باشد». </w:t>
      </w:r>
      <w:r>
        <w:rPr>
          <w:rStyle w:val="FootnoteReference"/>
        </w:rPr>
        <w:footnoteReference w:id="4"/>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0" name="_x0000_i002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صدر آیه ٧٨، از سوره (٤) النّساء</w:t>
      </w:r>
    </w:p>
  </w:footnote>
  <w:footnote w:id="2">
    <w:p>
      <w:pPr>
        <w:pStyle w:val="FootnoteText"/>
      </w:pPr>
      <w:r>
        <w:rPr>
          <w:rStyle w:val="FootnoteReference"/>
        </w:rPr>
        <w:footnoteRef/>
      </w:r>
      <w:r>
        <w:t xml:space="preserve"> </w:t>
      </w:r>
      <w:r>
        <w:rPr>
          <w:rtl w:val="0"/>
          <w:lang w:val="fa-IR"/>
        </w:rPr>
        <w:t xml:space="preserve"> قسمتى از آیه ١٥٤ از سوره (٣) ءَال عمران‌</w:t>
      </w:r>
    </w:p>
  </w:footnote>
  <w:footnote w:id="3">
    <w:p>
      <w:pPr>
        <w:pStyle w:val="FootnoteText"/>
      </w:pPr>
      <w:r>
        <w:rPr>
          <w:rStyle w:val="FootnoteReference"/>
        </w:rPr>
        <w:footnoteRef/>
      </w:r>
      <w:r>
        <w:t xml:space="preserve"> </w:t>
      </w:r>
      <w:r>
        <w:rPr>
          <w:rtl w:val="0"/>
          <w:lang w:val="fa-IR"/>
        </w:rPr>
        <w:t xml:space="preserve"> قسمتى از آیه ٤٢ از سوره (٨) الانفال</w:t>
      </w:r>
    </w:p>
  </w:footnote>
  <w:footnote w:id="4">
    <w:p>
      <w:pPr>
        <w:pStyle w:val="FootnoteText"/>
      </w:pPr>
      <w:r>
        <w:rPr>
          <w:rStyle w:val="FootnoteReference"/>
        </w:rPr>
        <w:footnoteRef/>
      </w:r>
      <w:r>
        <w:t xml:space="preserve"> </w:t>
      </w:r>
      <w:r>
        <w:rPr>
          <w:rtl w:val="0"/>
          <w:lang w:val="fa-IR"/>
        </w:rPr>
        <w:t xml:space="preserve"> اللَه شناسى، ج‌١، ص ٣٧١.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