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راه شناخت حقیقت ولایت چیست؟</w:t>
      </w:r>
    </w:p>
    <w:p>
      <w:pPr>
        <w:pStyle w:val="VasatChinFarsi++"/>
      </w:pPr>
      <w:r>
        <w:rPr>
          <w:rtl w:val="0"/>
          <w:lang w:val="fa-IR"/>
        </w:rPr>
        <w:t xml:space="preserve"> </w:t>
      </w:r>
    </w:p>
    <w:p>
      <w:pPr>
        <w:pStyle w:val="VasatChinFarsi++"/>
      </w:pPr>
      <w:r>
        <w:rPr>
          <w:rtl w:val="0"/>
          <w:lang w:val="fa-IR"/>
        </w:rPr>
        <w:t xml:space="preserve">عید فطر 1414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NormalA++"/>
      </w:pPr>
      <w:r>
        <w:rPr>
          <w:rtl w:val="0"/>
          <w:lang w:val="fa-IR"/>
        </w:rPr>
        <w:t xml:space="preserve"> و قال فی کتابه العزیز:</w:t>
      </w:r>
    </w:p>
    <w:p>
      <w:pPr>
        <w:pStyle w:val="NormalA++"/>
      </w:pPr>
      <w:r>
        <w:rPr>
          <w:rStyle w:val="Ayat2Matn++"/>
          <w:rtl w:val="0"/>
          <w:lang w:val="fa-IR"/>
        </w:rPr>
        <w:t xml:space="preserve"> ﴿يَـٰٓأَيُّهَا ٱلنَّاسُ قَدۡ جَآءَتۡكُم مَّوۡعِظَةٞ مِّن رَّبِّكُمۡ وَشِفَآءٞ لِّمَا فِي ٱلصُّدُورِ وَهُدٗى وَرَحۡمَةٞ لِّلۡمُؤۡمِنِينَ﴾</w:t>
      </w:r>
      <w:r>
        <w:rPr>
          <w:rtl w:val="0"/>
          <w:lang w:val="fa-IR"/>
        </w:rPr>
        <w:t xml:space="preserve">.</w:t>
      </w:r>
      <w:r>
        <w:rPr>
          <w:rStyle w:val="FootnoteReference"/>
        </w:rPr>
        <w:footnoteReference w:id="1"/>
      </w:r>
    </w:p>
    <w:p>
      <w:pPr>
        <w:pStyle w:val="Heading2"/>
      </w:pPr>
      <w:r>
        <w:rPr>
          <w:rtl w:val="0"/>
          <w:lang w:val="fa-IR"/>
        </w:rPr>
        <w:t xml:space="preserve">کلام امیرالمؤمنین درمورد عقل باطن و علم ظاهر</w:t>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 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r>
        <w:rPr>
          <w:rtl w:val="0"/>
          <w:lang w:val="fa-IR"/>
        </w:rPr>
        <w:t xml:space="preserve"> مدرکات افراد بر حسب استعدادهایی که دارند، اختلاف دارد و بر همین اساس است که می‌فرمایند:</w:t>
      </w:r>
    </w:p>
    <w:p>
      <w:pPr>
        <w:pStyle w:val="RevayatArabiNaghleghol"/>
      </w:pPr>
      <w:r>
        <w:rPr>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اولیاء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 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 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 «</w:t>
      </w:r>
      <w:r>
        <w:rPr>
          <w:rtl w:val="0"/>
          <w:lang w:val="fa-IR"/>
        </w:rPr>
        <w:t xml:space="preserve">دعٰا إلیها أسمعُ داعٍ و وَعٰاهٰا خیرُ واعٍ</w:t>
      </w:r>
      <w:r>
        <w:rPr>
          <w:rtl w:val="0"/>
          <w:lang w:val="fa-IR"/>
        </w:rPr>
        <w:t xml:space="preserve">؛</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کتابی</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r>
        <w:rPr>
          <w:rtl w:val="0"/>
          <w:lang w:val="fa-IR"/>
        </w:rPr>
        <w:t xml:space="preserve"> اینها افرادی هستند که کمر ولایت را شکستند! اینها افرادی هستند که امیرالمؤمنین از آنها بیزار است! پنجاه سال در سرداب‌های نجف درس می‌خوانند؛ ولی تمام این درس خواندن‌ها، تیز کردن شمشیر و تهیۀ تیر برای از بین بردن حقایق و معانی اسلام است! وقتی که پیغمبر اکرم می‌فرماید: «این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بایستد، باید به جایی رسیده باشد که بتواند در مقابل امام سجاد بایستد! اگر نتواند در مقابل آنها بایستد، نمی‌تواند کمر پیغمبر را بشکند!</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 دیده می‌گیرند!</w:t>
      </w:r>
    </w:p>
    <w:p>
      <w:pPr/>
      <w:r>
        <w:rPr>
          <w:rtl w:val="0"/>
          <w:lang w:val="fa-IR"/>
        </w:rPr>
        <w:t xml:space="preserve"> آن کسانی که سابقاً دور و بر بعضی از همین [علمای قم] بودند و خودشان را 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r>
        <w:rPr>
          <w:rtl w:val="0"/>
          <w:lang w:val="fa-IR"/>
        </w:rPr>
        <w:t xml:space="preserve"> امیرالمؤمنین علیه السلام این افراد را برای ما خوب بیان می‌کند: </w:t>
      </w:r>
      <w:r>
        <w:rPr>
          <w:rtl w:val="0"/>
          <w:lang w:val="fa-IR"/>
        </w:rPr>
        <w:t xml:space="preserve">«و آخرُ قَد تسمّیٰ عالمًا...»</w:t>
      </w:r>
      <w:r>
        <w:rPr>
          <w:rtl w:val="0"/>
          <w:lang w:val="fa-IR"/>
        </w:rPr>
        <w:t xml:space="preserve"> تا آنجا که می‌فرماید: «</w:t>
      </w:r>
      <w:r>
        <w:rPr>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 الآن بر مصدر ارشاد و تبلیغ تکیه زده است، چه می‌گذشته است و چه می‌گذرد! خدا آن روز را نیاورَد و مسئله به همین‌جا خاتمه پیدا کند!</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بعد،]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لزوم توجه صرف سالک به باطن</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Style w:val="AshaarFarsiMatn++"/>
      </w:pPr>
      <w:r>
        <w:rPr>
          <w:rtl w:val="0"/>
          <w:lang w:val="fa-IR"/>
        </w:rPr>
        <w:t xml:space="preserve">نام احمد نام جمله انبیاست *** چون‌که صد آمد نود هم پیش ماست</w:t>
      </w:r>
      <w:r>
        <w:rPr>
          <w:rStyle w:val="FootnoteReference"/>
        </w:rPr>
        <w:footnoteReference w:id="13"/>
      </w:r>
    </w:p>
    <w:p>
      <w:pPr/>
      <w:r>
        <w:rPr>
          <w:rtl w:val="0"/>
          <w:lang w:val="fa-IR"/>
        </w:rPr>
        <w:t xml:space="preserve"> وقتی که مقام ولایت برای ما ظهور می‌کند، دیگر به‌دنبال ظاهر رفتن خلاف است.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 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تفاوت سعۀ افراد در ادراک حقایق</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حاج محمدعلی کذایی که آن مقامات را طی کرده بود فرمودند:</w:t>
      </w:r>
    </w:p>
    <w:p>
      <w:pPr>
        <w:pStyle w:val="NaghlegholFarsiMatn++"/>
      </w:pPr>
      <w:r>
        <w:rPr>
          <w:rtl w:val="0"/>
          <w:lang w:val="fa-IR"/>
        </w:rPr>
        <w:t xml:space="preserve">تو هیچ‌گاه تحمّل مُدرکات و مقامات و شناخت من را نخواهی داشت! اگر من بخواهم گوشه‌ای از آنچه بر من می‌گذرد را به تو نشان بدهم، همچون سنگ مُذاب ذوب می‌شوی و دود می‌شوی و به هوا می‌روی!</w:t>
      </w:r>
    </w:p>
    <w:p>
      <w:pPr/>
      <w:r>
        <w:rPr>
          <w:rtl w:val="0"/>
          <w:lang w:val="fa-IR"/>
        </w:rPr>
        <w:t xml:space="preserve"> حاج محمدعلی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Style w:val="AshaarFarsiMatn++"/>
      </w:pPr>
      <w:r>
        <w:rPr>
          <w:rtl w:val="0"/>
          <w:lang w:val="fa-IR"/>
        </w:rPr>
        <w:t xml:space="preserve">آب کی نوشم من از مرداب یونان و فرنگ *** تا نصیب من ز قرآن آب حیوان کرده‌اند</w:t>
      </w:r>
      <w:r>
        <w:rPr>
          <w:rStyle w:val="FootnoteReference"/>
        </w:rPr>
        <w:footnoteReference w:id="14"/>
      </w: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ـ ظاهراً این مطلب را در کتابشان هم ذکر کرده‌اند ـ:</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5"/>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pStyle w:val="NormalA++"/>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Style w:val="AshaarFarsiMatn++"/>
      </w:pPr>
      <w:r>
        <w:rPr>
          <w:rtl w:val="0"/>
          <w:lang w:val="fa-IR"/>
        </w:rPr>
        <w:t xml:space="preserve">هر که در خانه‌اش صنم دارد *** گر نیاید برون چه غم دارد</w:t>
      </w:r>
      <w:r>
        <w:rPr>
          <w:rStyle w:val="FootnoteReference"/>
        </w:rPr>
        <w:footnoteReference w:id="16"/>
      </w:r>
      <w:r>
        <w:rPr>
          <w:rtl w:val="0"/>
          <w:lang w:val="fa-IR"/>
        </w:rPr>
        <w:t xml:space="preserve">؟</w:t>
      </w: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7"/>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8"/>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9"/>
      </w:r>
      <w:r>
        <w:rPr>
          <w:rtl w:val="0"/>
          <w:lang w:val="fa-IR"/>
        </w:rPr>
        <w:t xml:space="preserve"> تمام اینها به‌خاطر این است که ما می‌خواهیم احکام خدا را 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اولیا، زبان گویای امام علیه السلام</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20"/>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1"/>
      </w:r>
      <w:r>
        <w:rPr>
          <w:rtl w:val="0"/>
          <w:lang w:val="fa-IR"/>
        </w:rPr>
        <w:t xml:space="preserve"> از مسائل دیگر خبر می‌دهد. چه‌بسا اگر این قضیه اتفاق نمی‌افتاد، قضایا 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اولیاء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 اینجا که می‌فرماید: «</w:t>
      </w:r>
      <w:r>
        <w:rPr>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از خدا می‌خواهد: «</w:t>
      </w:r>
      <w:r>
        <w:rPr>
          <w:rtl w:val="0"/>
          <w:lang w:val="fa-IR"/>
        </w:rPr>
        <w:t xml:space="preserve">أن تُدخلَنی فی کلِّ خیرٍ أدخلتَ فیه محمّدًا و آل‌محمّدٍ</w:t>
      </w:r>
      <w:r>
        <w:rPr>
          <w:rtl w:val="0"/>
          <w:lang w:val="fa-IR"/>
        </w:rPr>
        <w:t xml:space="preserve">» این یک دعا! دعای دوم: «</w:t>
      </w:r>
      <w:r>
        <w:rPr>
          <w:rtl w:val="0"/>
          <w:lang w:val="fa-IR"/>
        </w:rPr>
        <w:t xml:space="preserve">و أن تُخرجَنی مِن کلِّ سوءٍ أخرجتَ منه محمّدًا و آل‌محمّدٍ صلواتُک علیه و علیهم أجمعینَ!</w:t>
      </w:r>
      <w:r>
        <w:rPr>
          <w:rtl w:val="0"/>
          <w:lang w:val="fa-IR"/>
        </w:rPr>
        <w:t xml:space="preserve">» بعد دو دعای دیگر هم هست: «</w:t>
      </w:r>
      <w:r>
        <w:rPr>
          <w:rtl w:val="0"/>
          <w:lang w:val="fa-IR"/>
        </w:rPr>
        <w:t xml:space="preserve">اللَهمّ إنی أسألک خیرَ ما سَئلکَ به عبادُک الصّالحون، و أعوذُ بکَ ممّا استَعاذَ منه عبادُک المُخلِصونَ</w:t>
      </w:r>
      <w:r>
        <w:rPr>
          <w:rtl/>
          <w:lang w:val="fa-IR"/>
        </w:rPr>
        <w:t xml:space="preserve">».</w:t>
      </w:r>
      <w:r>
        <w:rPr>
          <w:rStyle w:val="FootnoteReference"/>
        </w:rPr>
        <w:footnoteReference w:id="22"/>
      </w:r>
    </w:p>
    <w:p>
      <w:pPr>
        <w:pStyle w:val="NormalA++"/>
      </w:pPr>
      <w:r>
        <w:rPr>
          <w:rtl w:val="0"/>
          <w:lang w:val="fa-IR"/>
        </w:rPr>
        <w:t xml:space="preserve"> اللَهمّ صلّ علیٰ محمّد و آل‌محمّد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3" name="_x0000_i01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 </w:t>
      </w:r>
      <w:r>
        <w:rPr>
          <w:rtl w:val="0"/>
          <w:lang w:val="fa-IR"/>
        </w:rPr>
        <w:t xml:space="preserve">مهر فروزان</w:t>
      </w:r>
      <w:r>
        <w:rPr>
          <w:rtl w:val="0"/>
          <w:lang w:val="fa-IR"/>
        </w:rPr>
        <w:t xml:space="preserve">، ص ١٧٧؛ </w:t>
      </w:r>
      <w:r>
        <w:rPr>
          <w:rtl w:val="0"/>
          <w:lang w:val="fa-IR"/>
        </w:rPr>
        <w:t xml:space="preserve">حریم قدس</w:t>
      </w:r>
      <w:r>
        <w:rPr>
          <w:rtl w:val="0"/>
          <w:lang w:val="fa-IR"/>
        </w:rPr>
        <w:t xml:space="preserve">، ص ١١٤.</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6">
    <w:p>
      <w:pPr>
        <w:pStyle w:val="FootnoteText"/>
      </w:pPr>
      <w:r>
        <w:rPr>
          <w:rStyle w:val="FootnoteReference"/>
        </w:rPr>
        <w:footnoteRef/>
      </w:r>
      <w:r>
        <w:t xml:space="preserve"> </w:t>
      </w:r>
      <w:r>
        <w:rPr>
          <w:rtl w:val="0"/>
          <w:lang w:val="fa-IR"/>
        </w:rPr>
        <w:t xml:space="preserve">رجوع شود به</w:t>
      </w:r>
      <w:r>
        <w:rPr>
          <w:rtl w:val="0"/>
          <w:lang w:val="fa-IR"/>
        </w:rPr>
        <w:t xml:space="preserve"> روح مجرد</w:t>
      </w:r>
      <w:r>
        <w:rPr>
          <w:rtl w:val="0"/>
          <w:lang w:val="fa-IR"/>
        </w:rPr>
        <w:t xml:space="preserve">، ص ٣٠٣.</w:t>
      </w:r>
    </w:p>
  </w:footnote>
  <w:footnote w:id="17">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w:t>
        <w:tab/>
        <w:t xml:space="preserve">**</w:t>
        <w:tab/>
        <w:t xml:space="preserve">مرغان آبی را چه غم تا غم خورد مرغ هوا</w:t>
      </w:r>
    </w:p>
    <w:p>
      <w:pPr>
        <w:pStyle w:val="FootnoteText"/>
      </w:pP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9">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١٨٤.</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٥، ص ٥٥٨.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٧١٥.</w:t>
      </w:r>
    </w:p>
  </w:footnote>
  <w:footnote w:id="2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