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امانت مستودعه در حقیقت انسان چیست؟</w:t>
      </w:r>
    </w:p>
    <w:p>
      <w:pPr>
        <w:pStyle w:val="VasatChinFarsi++"/>
      </w:pPr>
      <w:r>
        <w:rPr>
          <w:rtl w:val="0"/>
          <w:lang w:val="fa-IR"/>
        </w:rPr>
        <w:t xml:space="preserve"> </w:t>
      </w:r>
    </w:p>
    <w:p>
      <w:pPr>
        <w:pStyle w:val="VasatChinFarsi++"/>
      </w:pPr>
      <w:r>
        <w:rPr>
          <w:rtl w:val="0"/>
          <w:lang w:val="fa-IR"/>
        </w:rPr>
        <w:t xml:space="preserve">عید فطر 1417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NormalA++"/>
      </w:pPr>
      <w:r>
        <w:rPr>
          <w:rtl w:val="0"/>
          <w:lang w:val="fa-IR"/>
        </w:rPr>
        <w:t xml:space="preserve"> بسم اللَه الرّحمٰن الرّحیم </w:t>
      </w:r>
      <w:r>
        <w:rPr>
          <w:rStyle w:val="Ayat2Matn++"/>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3"/>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به‌عنوان [اجابت دعوت دوستان] چند دقیقه‌ای [صحبت می‌کنیم، چون] وقتی که به ما لطف و مرحمت دارند اگر ما مضایقه کنیم خلاف مروّت است.</w:t>
      </w:r>
    </w:p>
    <w:p>
      <w:pPr/>
      <w:r>
        <w:rPr>
          <w:rtl w:val="0"/>
          <w:lang w:val="fa-IR"/>
        </w:rPr>
        <w:t xml:space="preserve"> مطلب دیگر اینکه چون احساس می‌کردم که متأسفانه ما به همان ابتلایی که غالب افراد به آن مبتلا هستند، مبتلا هستیم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مستثنیٰ نیست.</w:t>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Style w:val="AshaarFarsiMatn++"/>
      </w:pPr>
      <w:r>
        <w:rPr>
          <w:rtl w:val="0"/>
          <w:lang w:val="fa-IR"/>
        </w:rPr>
        <w:t xml:space="preserve">مرد باید که گیرد اندر گوش *** ور نوشته است پند بر دیوار</w:t>
      </w:r>
      <w:r>
        <w:rPr>
          <w:rStyle w:val="FootnoteReference"/>
        </w:rPr>
        <w:footnoteReference w:id="4"/>
      </w: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 او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منظور از امانت در آیۀ شریفه</w:t>
      </w:r>
    </w:p>
    <w:p>
      <w:pPr/>
      <w:r>
        <w:rPr>
          <w:rtl w:val="0"/>
          <w:lang w:val="fa-IR"/>
        </w:rPr>
        <w:t xml:space="preserve"> خداوند در این آیۀ شریفه می‌فرماید:</w:t>
      </w:r>
    </w:p>
    <w:p>
      <w:pPr/>
      <w:r>
        <w:rPr>
          <w:rtl w:val="0"/>
          <w:lang w:val="fa-IR"/>
        </w:rPr>
        <w:t xml:space="preserve"> «ما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هر تعیّنِ اول و تعیّنات ثانویه و ثالثویه, چه وجود و چه مراتب متکاملۀ وجود و صفاتی که مترتّب بر وجود است، اینها تعیّنات محدود نزول اسماء و صفات الهی است و این امر شامل تمام موجودات در عالم کوْن می‌شود، اعمّ از عالم ماده و طبع و عالم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یک‌هم‌چنین ودیعه‌ای را نداشتند؛ چه عالم ماده که عبارت از زمین و آسمان مادی باشد و چه موجودات عوالم علوی، هیچ‌کدام از آنها یک‌هم‌چنین استعدادی را در خودشان ندیدند؛ بلکه جن و مَلک هم یک‌هم‌چنین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یک‌هم‌چنین ودیعه‌ای را تحمل کنند، چون آنها یک ظرف محدود دارند، آنها یک قابلیّت محدود دارند، آنها یک استعداد محدود دارند که از نقطه‌نظر سیر طولی از آن استعداد و از آن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معنای توحید</w:t>
      </w:r>
    </w:p>
    <w:p>
      <w:pPr/>
      <w:r>
        <w:rPr>
          <w:rtl w:val="0"/>
          <w:lang w:val="fa-IR"/>
        </w:rPr>
        <w:t xml:space="preserve"> این سِر عبارت است از سرّ توحید! توحید عبارت است از ادراک وحدانیّت بالصّرافه و حقّه و حقیقیۀ پروردگار! این توحید است. توحید عبارت است از اندکاک هر تعیّن و هر حدّی در ذات لا یتناهیٰ و وحدانی حضرت حق! یعنی نه‌تنها انسان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چه لذات دنیایی و چه لذات اُخرویِ در عالم مثال و ملکوت و جبروت و لاهوت و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یک‌هم‌چنین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r>
        <w:rPr>
          <w:rtl w:val="0"/>
          <w:lang w:val="fa-IR"/>
        </w:rPr>
        <w:t xml:space="preserve"> «</w:t>
      </w:r>
      <w:r>
        <w:rPr>
          <w:rtl w:val="0"/>
          <w:lang w:val="fa-IR"/>
        </w:rPr>
        <w:t xml:space="preserve">أعضادٌ و أشهادٌ [و مُناةٌ و أذوادٌ] و حَفَظةٌ و رُوّادٌ، فبهِم مَلأتَ سماءَک و أرضَک حتّی ظهَر أن لا إله إلّا أنتَ</w:t>
      </w:r>
      <w:r>
        <w:rPr>
          <w:rtl w:val="0"/>
          <w:lang w:val="fa-IR"/>
        </w:rPr>
        <w:t xml:space="preserve">.»</w:t>
      </w:r>
      <w:r>
        <w:rPr>
          <w:rStyle w:val="FootnoteReference"/>
        </w:rPr>
        <w:footnoteReference w:id="5"/>
      </w:r>
    </w:p>
    <w:p>
      <w:pPr/>
      <w:r>
        <w:rPr>
          <w:rtl w:val="0"/>
          <w:lang w:val="fa-IR"/>
        </w:rPr>
        <w:t xml:space="preserve"> «</w:t>
      </w:r>
      <w:r>
        <w:rPr>
          <w:rtl w:val="0"/>
          <w:lang w:val="fa-IR"/>
        </w:rPr>
        <w:t xml:space="preserve">أعضادٌ و أشهادٌ</w:t>
      </w:r>
      <w:r>
        <w:rPr>
          <w:rtl w:val="0"/>
          <w:lang w:val="fa-IR"/>
        </w:rPr>
        <w:t xml:space="preserve">؛ ائمه علیهم السلام یاوران و ناظران بر عالم کون هستند.» «</w:t>
      </w:r>
      <w:r>
        <w:rPr>
          <w:rtl w:val="0"/>
          <w:lang w:val="fa-IR"/>
        </w:rPr>
        <w:t xml:space="preserve">حَفَظةٌ</w:t>
      </w:r>
      <w:r>
        <w:rPr>
          <w:rtl w:val="0"/>
          <w:lang w:val="fa-IR"/>
        </w:rPr>
        <w:t xml:space="preserve">؛ اینها پاسدارند.» پاسدار یعنی شخصی که نگهدار و نگهبان مسئله‌ای است. «</w:t>
      </w:r>
      <w:r>
        <w:rPr>
          <w:rtl w:val="0"/>
          <w:lang w:val="fa-IR"/>
        </w:rPr>
        <w:t xml:space="preserve">رُوّادٌ</w:t>
      </w:r>
      <w:r>
        <w:rPr>
          <w:rtl w:val="0"/>
          <w:lang w:val="fa-IR"/>
        </w:rPr>
        <w:t xml:space="preserve">؛ اینها پیش‌آهنگان و جلوداران برای قافلۀ توحید هستند.» «</w:t>
      </w:r>
      <w:r>
        <w:rPr>
          <w:rtl w:val="0"/>
          <w:lang w:val="fa-IR"/>
        </w:rPr>
        <w:t xml:space="preserve">فَبهِم مَلأتَ سَماءَک و أرضَک</w:t>
      </w:r>
      <w:r>
        <w:rPr>
          <w:rtl w:val="0"/>
          <w:lang w:val="fa-IR"/>
        </w:rPr>
        <w:t xml:space="preserve">؛ خدایا تو به‌واسطۀ وجود ائمه آسمان و زمین را پُر کردی.» «</w:t>
      </w:r>
      <w:r>
        <w:rPr>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[بالصّرافه] برقرار است. در آنجا که کثرت نیست و در آنجا که دیگر ظهور نیست، بلکه عالَم عماء محض است،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[خدایا،] به وجود ائمه علیهم السلام «</w:t>
      </w:r>
      <w:r>
        <w:rPr>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 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تا اینکه آن توحیدی که بالصّرافه بود، تا اینکه آن توحید حقّه و حقیقیه و یکتایی که داشتی و تا اینکه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pStyle w:val="Heading2"/>
      </w:pPr>
      <w:r>
        <w:rPr>
          <w:rtl w:val="0"/>
          <w:lang w:val="fa-IR"/>
        </w:rPr>
        <w:t xml:space="preserve">خطیر بودن مسئلۀ ولایت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pStyle w:val="AshaarFarsiMatn++"/>
      </w:pPr>
      <w:r>
        <w:rPr>
          <w:rtl w:val="0"/>
          <w:lang w:val="fa-IR"/>
        </w:rPr>
        <w:t xml:space="preserve">هر کسی از ظنّ خود شد یار من *** وز درون من نجست اسرار من</w:t>
      </w:r>
      <w:r>
        <w:rPr>
          <w:rStyle w:val="FootnoteReference"/>
        </w:rPr>
        <w:footnoteReference w:id="6"/>
      </w: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یک‌هم‌چنین وظیفه‌ای را بر عهدۀ ما گذاشته است؟! چه شخصی ما را مأمور کرده که در این‌گونه مطالب بحث و نظر کنیم؟!</w:t>
      </w:r>
    </w:p>
    <w:p>
      <w:pPr/>
      <w:r>
        <w:rPr>
          <w:rtl w:val="0"/>
          <w:lang w:val="fa-IR"/>
        </w:rPr>
        <w:t xml:space="preserve"> من سال گذشته در یک‌هم‌چنین روزی نسبت به بعضی از افراد اخطار دادم و گفتم که دست از این مطالب بردارند و از خودشان اظهار نظر نکنند و بگذارند مطالب به روش عادی پیش برود، ولی قبول نکردند و دیدید آنچه شد!</w:t>
      </w:r>
    </w:p>
    <w:p>
      <w:pPr/>
      <w:r>
        <w:rPr>
          <w:rtl w:val="0"/>
          <w:lang w:val="fa-IR"/>
        </w:rPr>
        <w:t xml:space="preserve"> امروز هم در یک‌هم‌چنین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است، راه ما راه صحیح است! ما که در اینجا ادعایی نداریم، ما که در اینجا دکّان و دستگاه نداریم! انسان که نمی‌تواند برای اثبات یک مطلب از مطالب خلاف بهره بگیرد! انسان که نمی‌تواند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یک‌هم‌چنین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[باید به او گفت:] آخر مگر شما وکیل مردم هستی؟! مردم قرآن می‌خوانند بخوانند؛ نمی‌خوانند نخوانند! همۀ مردم خدا دارند!</w:t>
      </w:r>
    </w:p>
    <w:p>
      <w:pPr>
        <w:pStyle w:val="Heading2"/>
      </w:pPr>
      <w:r>
        <w:rPr>
          <w:rtl w:val="0"/>
          <w:lang w:val="fa-IR"/>
        </w:rPr>
        <w:t xml:space="preserve">لزوم عدم توجه به مظاهر</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Style w:val="FootnoteReference"/>
        </w:rPr>
        <w:footnoteReference w:id="7"/>
      </w:r>
      <w:r>
        <w:rPr>
          <w:rtl w:val="0"/>
          <w:lang w:val="fa-IR"/>
        </w:rPr>
        <w:t xml:space="preserve"> نار را بر طین ترجیح داد،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تمام عوالم وجود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 نباید به اینها نگاه کند! در اینجا بود که غیرت خدا اقتضا نکرد و او را کنار زد! گفت:</w:t>
      </w:r>
    </w:p>
    <w:p>
      <w:pPr>
        <w:pStyle w:val="AshaarFarsiMatn++"/>
      </w:pPr>
      <w:r>
        <w:rPr>
          <w:rtl w:val="0"/>
          <w:lang w:val="fa-IR"/>
        </w:rPr>
        <w:t xml:space="preserve">فیض روح القدس ار باز مدد فرماید *** دیگران هم بکنند آنچه مسیحا می‌کرد</w:t>
      </w:r>
      <w:r>
        <w:rPr>
          <w:rStyle w:val="FootnoteReference"/>
        </w:rPr>
        <w:footnoteReference w:id="8"/>
      </w: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9"/>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Style w:val="FootnoteReference"/>
        </w:rPr>
        <w:footnoteReference w:id="10"/>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Style w:val="FootnoteReference"/>
        </w:rPr>
        <w:footnoteReference w:id="11"/>
      </w:r>
      <w:r>
        <w:rPr>
          <w:rtl w:val="0"/>
          <w:lang w:val="fa-IR"/>
        </w:rPr>
        <w:t xml:space="preserve"> تألیف بین قلوب و اشتراک در مسیر از چه کسی بوده است؟ چه ذاتی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 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tl w:val="0"/>
          <w:lang w:val="fa-IR"/>
        </w:rPr>
        <w:t xml:space="preserve">أنا الّذی عَصیتُ جبّار السّماء، أنا الّذی أعطی علیٰ معاصی الجلیلِ الرُّشیٰ</w:t>
      </w:r>
      <w:r>
        <w:rPr>
          <w:rStyle w:val="FootnoteReference"/>
        </w:rPr>
        <w:footnoteReference w:id="12"/>
      </w:r>
      <w:r>
        <w:rPr>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r>
        <w:rPr>
          <w:rtl w:val="0"/>
          <w:lang w:val="fa-IR"/>
        </w:rPr>
        <w:t xml:space="preserve"> آیا ما این‌طور نیستیم؟! شما خودتان مشاهده نمی‌کنید؟! آیا آن کسی که الآن دارای یک موقعیت نیست نظرش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 «هر کسی که در هر مقامی است اگر از خودش فرد بهتری را سراغ دارد وظیفۀ شرعی او است که کنار برود و او را [به‌جای خودش بگذارد!]»</w:t>
      </w:r>
      <w:r>
        <w:rPr>
          <w:rStyle w:val="FootnoteReference"/>
        </w:rPr>
        <w:footnoteReference w:id="13"/>
      </w: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 یک نفر را به من نشان بدهید! یعنی آن فردی که الآن در این پُست و در این مقام است واقعاً خودش را از تمام افراد ایران بالاتر می‌داند؟! این که خنده‌دار است! این مسئله به‌خاطر این است که انسان عوض می‌شود. قبلاً یک‌هم‌چنین حالی را ندارد، ولی وقتی که به مقام و موقعیت می‌رسد، ذهنیاتش تغییر پیدا می‌کند، لذت ریاست و مقام او را می‌گیرد و شروع به توجیه کردن می‌کند،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 خود ما می‌دانیم، خداوند متعال برای ما قاضیِ باطن قرار داده است، ما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توحید، اولین ابلاغ پیامبر</w:t>
      </w:r>
    </w:p>
    <w:p>
      <w:pPr>
        <w:pStyle w:val="RevayatFarsiMatn++"/>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Style w:val="FootnoteReference"/>
        </w:rPr>
        <w:footnoteReference w:id="14"/>
      </w:r>
      <w:r>
        <w:rPr>
          <w:rtl w:val="0"/>
          <w:lang w:val="fa-IR"/>
        </w:rPr>
        <w:t xml:space="preserve"> پیغمبر تمام أقربای خودش را جمع کرد، مجلس اول به‌هم خورد، اما در مجلس دوم حضرت فرمودند: «</w:t>
      </w:r>
      <w:r>
        <w:rPr>
          <w:rtl w:val="0"/>
          <w:lang w:val="fa-IR"/>
        </w:rPr>
        <w:t xml:space="preserve">کیست که با من در این راه همکاری و هماهنگی کند</w:t>
      </w:r>
      <w:r>
        <w:rPr>
          <w:rtl w:val="0"/>
          <w:lang w:val="fa-IR"/>
        </w:rPr>
        <w:t xml:space="preserve"> </w:t>
      </w:r>
      <w:r>
        <w:rPr>
          <w:rtl w:val="0"/>
          <w:lang w:val="fa-IR"/>
        </w:rPr>
        <w:t xml:space="preserve">لِیکونَ وزیرًا و خلیفةً و وصیًّا مِن بَعدی</w:t>
      </w:r>
      <w:r>
        <w:rPr>
          <w:rtl w:val="0"/>
          <w:lang w:val="fa-IR"/>
        </w:rPr>
        <w:t xml:space="preserve">؟» هیچ‌کس بلند نشد، تا اینکه امیرالمؤمنین علیه السلام برخاست و فرمود: «</w:t>
      </w:r>
      <w:r>
        <w:rPr>
          <w:rtl w:val="0"/>
          <w:lang w:val="fa-IR"/>
        </w:rPr>
        <w:t xml:space="preserve">أنا یا رسول اللَه</w:t>
      </w: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 یک‌هم‌چنین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15"/>
      </w:r>
    </w:p>
    <w:p>
      <w:pPr>
        <w:pStyle w:val="Heading2"/>
      </w:pPr>
      <w:r>
        <w:rPr>
          <w:rtl w:val="0"/>
          <w:lang w:val="fa-IR"/>
        </w:rPr>
        <w:t xml:space="preserve">تعریف سلوک</w:t>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بیایم از او اطاعت کنیم؟! آقا، ما با هم پیش مرحوم کذا می‌رفتیم، ما 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16"/>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شرح دعای قنوت نماز عید فطر</w:t>
      </w:r>
    </w:p>
    <w:p>
      <w:pPr/>
      <w:r>
        <w:rPr>
          <w:rtl w:val="0"/>
          <w:lang w:val="fa-IR"/>
        </w:rPr>
        <w:t xml:space="preserve"> در دعای امروز می‌خوانیم: «</w:t>
      </w:r>
      <w:r>
        <w:rPr>
          <w:rtl w:val="0"/>
          <w:lang w:val="fa-IR"/>
        </w:rPr>
        <w:t xml:space="preserve">أسألک بحقِّ هذا الیومِ الّذی جَعلتَه للمُسلمینَ عیدًا و لمُحمّدٍ صلّی اللَه علیه و آله</w:t>
      </w:r>
      <w:r>
        <w:rPr>
          <w:rtl w:val="0"/>
          <w:lang w:val="fa-IR"/>
        </w:rPr>
        <w:t xml:space="preserve">؛ خدایا ما تو را به حقّ این عیدی که امروز برای ما و برای پیغمبر خودت و برای اولیاء عظام خودت و معصومین خودت مقرّر کردی قَسم می‌دهیم!»</w:t>
      </w:r>
    </w:p>
    <w:p>
      <w:pPr/>
      <w:r>
        <w:rPr>
          <w:rtl w:val="0"/>
          <w:lang w:val="fa-IR"/>
        </w:rPr>
        <w:t xml:space="preserve"> امام علیه السلام از خدا سه تقاضا کرده است:</w:t>
      </w:r>
    </w:p>
    <w:p>
      <w:pPr/>
      <w:r>
        <w:rPr>
          <w:rtl w:val="0"/>
          <w:lang w:val="fa-IR"/>
        </w:rPr>
        <w:t xml:space="preserve"> اول: «</w:t>
      </w:r>
      <w:r>
        <w:rPr>
          <w:rtl w:val="0"/>
          <w:lang w:val="fa-IR"/>
        </w:rPr>
        <w:t xml:space="preserve">أن تُصلّیَ علیٰ محمّدٍ و آل‌محمّدٍ</w:t>
      </w:r>
      <w:r>
        <w:rPr>
          <w:rtl w:val="0"/>
          <w:lang w:val="fa-IR"/>
        </w:rPr>
        <w:t xml:space="preserve">؛ [بر محمد و آل او درود بفرستی!]» که بالاترین تقاضاها و بالاترین دعاها صلوات بر پیغمبر و آل او است.</w:t>
      </w:r>
      <w:r>
        <w:rPr>
          <w:rStyle w:val="FootnoteReference"/>
        </w:rPr>
        <w:footnoteReference w:id="17"/>
      </w:r>
      <w:r>
        <w:rPr>
          <w:rtl w:val="0"/>
          <w:lang w:val="fa-IR"/>
        </w:rPr>
        <w:t xml:space="preserve"> اول با درود بر پیغمبر و نزول جلوات حضرت حق بر ائمه علیهم السلام راه [استجابت دعا] باز شد، حالا که باز شد دیگر دعاها قبول است.</w:t>
      </w:r>
    </w:p>
    <w:p>
      <w:pPr/>
      <w:r>
        <w:rPr>
          <w:rtl w:val="0"/>
          <w:lang w:val="fa-IR"/>
        </w:rPr>
        <w:t xml:space="preserve"> دوم: «</w:t>
      </w:r>
      <w:r>
        <w:rPr>
          <w:rtl w:val="0"/>
          <w:lang w:val="fa-IR"/>
        </w:rPr>
        <w:t xml:space="preserve">و أن تُدخلَنی فی کلِّ خیرٍ [أدخلتَ منه محمّدًا و آل‌محمّدٍ]</w:t>
      </w:r>
      <w:r>
        <w:rPr>
          <w:rtl w:val="0"/>
          <w:lang w:val="fa-IR"/>
        </w:rPr>
        <w:t xml:space="preserve">؛ در هر خیری که محمد و آل‌محمد را داخل کردی ما را هم داخل کن!» آن خیر چیست و محمد و آل‌محمد را در چه خیری داخل کردی؟ ما که داریم این دعا را می‌کنیم لابد خدا هم اجابت می‌کند! خدا که به انسان نمی‌گوید: دعا کن، ولی من اجابت نمی‌کنم! یعنی همان مقامی را که پیغمبر دادی به ما هم بده،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 «</w:t>
      </w:r>
      <w:r>
        <w:rPr>
          <w:rtl w:val="0"/>
          <w:lang w:val="fa-IR"/>
        </w:rPr>
        <w:t xml:space="preserve">و أن تُخرجَنی مِن کلِّ سوءٍ أخرجتَ منه محمّدًا و آل‌محمّدٍ صلواتُک علیه و علیهم أجمعینَ</w:t>
      </w:r>
      <w:r>
        <w:rPr>
          <w:rtl w:val="0"/>
          <w:lang w:val="fa-IR"/>
        </w:rPr>
        <w:t xml:space="preserve">؛ از هر انانیّت و شرک و جهل و بدی و پلیدی ولو به‌اندازۀ سر سوزن و ولو به‌اندازۀ طرفة عین و یک غمض عین، [آنگونه]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 تو در تنافی است بیرون بیاور!»</w:t>
      </w:r>
    </w:p>
    <w:p>
      <w:pPr/>
      <w:r>
        <w:rPr>
          <w:rtl w:val="0"/>
          <w:lang w:val="fa-IR"/>
        </w:rPr>
        <w:t xml:space="preserve"> [فرمود:] «</w:t>
      </w:r>
      <w:r>
        <w:rPr>
          <w:rtl w:val="0"/>
          <w:lang w:val="fa-IR"/>
        </w:rPr>
        <w:t xml:space="preserve">و إنّه لَیُغانُ علیٰ قَلبی و إنّی لأستَغفِرُ اللَه فی کلّ الیومِ سَبعینَ مَرّةً</w:t>
      </w:r>
      <w:r>
        <w:rPr>
          <w:rtl w:val="0"/>
          <w:lang w:val="fa-IR"/>
        </w:rPr>
        <w:t xml:space="preserve">!»</w:t>
      </w:r>
      <w:r>
        <w:rPr>
          <w:rStyle w:val="FootnoteReference"/>
        </w:rPr>
        <w:footnoteReference w:id="18"/>
      </w:r>
      <w:r>
        <w:rPr>
          <w:rtl w:val="0"/>
          <w:lang w:val="fa-IR"/>
        </w:rPr>
        <w:t xml:space="preserve"> از </w:t>
      </w:r>
      <w:r>
        <w:rPr>
          <w:rtl w:val="0"/>
          <w:lang w:val="fa-IR"/>
        </w:rPr>
        <w:t xml:space="preserve">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r>
        <w:rPr>
          <w:rtl w:val="0"/>
          <w:lang w:val="fa-IR"/>
        </w:rPr>
        <w:t xml:space="preserve"> «</w:t>
      </w:r>
      <w:r>
        <w:rPr>
          <w:rtl w:val="0"/>
          <w:lang w:val="fa-IR"/>
        </w:rPr>
        <w:t xml:space="preserve">اللَهمّ إنی أسألک خیرَ ما سألَک به عبادُک الصّالحونَ</w:t>
      </w:r>
      <w:r>
        <w:rPr>
          <w:rtl w:val="0"/>
          <w:lang w:val="fa-IR"/>
        </w:rPr>
        <w:t xml:space="preserve">؛ خدایا ما در این روز از تو تقاضا می‌کنیم که بهترین چیزی که عباد صالح تو از تو تقاضا می‌کنند به ما عنایت کنی!»</w:t>
      </w:r>
    </w:p>
    <w:p>
      <w:pPr/>
      <w:r>
        <w:rPr>
          <w:rtl w:val="0"/>
          <w:lang w:val="fa-IR"/>
        </w:rPr>
        <w:t xml:space="preserve"> «</w:t>
      </w:r>
      <w:r>
        <w:rPr>
          <w:rtl w:val="0"/>
          <w:lang w:val="fa-IR"/>
        </w:rPr>
        <w:t xml:space="preserve">و أعوذُ بک ممّا استَعاذَ منه عبادُک المُخلِصونَ</w:t>
      </w:r>
      <w:r>
        <w:rPr>
          <w:rtl w:val="0"/>
          <w:lang w:val="fa-IR"/>
        </w:rPr>
        <w:t xml:space="preserve">؛</w:t>
      </w:r>
      <w:r>
        <w:rPr>
          <w:rStyle w:val="FootnoteReference"/>
        </w:rPr>
        <w:footnoteReference w:id="19"/>
      </w:r>
      <w:r>
        <w:rPr>
          <w:rtl w:val="0"/>
          <w:lang w:val="fa-IR"/>
        </w:rPr>
        <w:t xml:space="preserve"> 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 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4" name="_x0000_i01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4">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حکایت شمارۀ ٣٧.</w:t>
      </w:r>
    </w:p>
  </w:footnote>
  <w:footnote w:id="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w:t>
      </w:r>
    </w:p>
  </w:footnote>
  <w:footnote w:id="7">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9">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10">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11">
    <w:p>
      <w:pPr>
        <w:pStyle w:val="FootnoteText"/>
      </w:pPr>
      <w:r>
        <w:rPr>
          <w:rStyle w:val="FootnoteReference"/>
        </w:rPr>
        <w:footnoteRef/>
      </w:r>
      <w:r>
        <w:t xml:space="preserve"> </w:t>
      </w:r>
      <w:r>
        <w:rPr>
          <w:rtl w:val="0"/>
          <w:lang w:val="fa-IR"/>
        </w:rPr>
        <w:t xml:space="preserve">سوره آل عمران (٣) آیه ١٠٣. </w:t>
      </w:r>
      <w:r>
        <w:rPr>
          <w:rtl w:val="0"/>
          <w:lang w:val="fa-IR"/>
        </w:rPr>
        <w:t xml:space="preserve">امام شناسی</w:t>
      </w:r>
      <w:r>
        <w:rPr>
          <w:rtl w:val="0"/>
          <w:lang w:val="fa-IR"/>
        </w:rPr>
        <w:t xml:space="preserve">، ج ١٤، ص ١٧٦:</w:t>
      </w:r>
    </w:p>
    <w:p>
      <w:pPr>
        <w:pStyle w:val="FootnoteText"/>
      </w:pPr>
      <w:r>
        <w:rPr>
          <w:rtl w:val="0"/>
          <w:lang w:val="fa-IR"/>
        </w:rPr>
        <w:t xml:space="preserve">«پس خداوند در میان دل‌های شما اُلفت افکنْد.»</w:t>
      </w:r>
    </w:p>
  </w:footnote>
  <w:footnote w:id="1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14">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16">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 هایش نقش بازی کند.</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18">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 أبی 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