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دین اسلام و قرآن بر توحید</w:t>
      </w:r>
    </w:p>
    <w:p>
      <w:pPr>
        <w:pStyle w:val="VasatChinMatn"/>
      </w:pPr>
      <w:r>
        <w:rPr>
          <w:rtl w:val="0"/>
          <w:lang w:val="fa-IR"/>
        </w:rPr>
        <w:t xml:space="preserve"> </w:t>
      </w:r>
    </w:p>
    <w:p>
      <w:pPr>
        <w:pStyle w:val="VasatChinMatn"/>
      </w:pPr>
      <w:r>
        <w:rPr>
          <w:rtl w:val="0"/>
          <w:lang w:val="fa-IR"/>
        </w:rPr>
        <w:t xml:space="preserve">مبانی تشیع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تنافی سلطۀ کفار بر مؤمنین با محوریّت توحید در اسلام</w:t>
      </w:r>
    </w:p>
    <w:p>
      <w:pP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1"/>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r>
        <w:rPr>
          <w:rtl w:val="0"/>
          <w:lang w:val="fa-IR"/>
        </w:rPr>
        <w:t xml:space="preserve">این منطق قرآن است.</w:t>
      </w:r>
    </w:p>
    <w:p>
      <w:pP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
      </w:r>
      <w:r>
        <w:rPr>
          <w:rtl w:val="0"/>
          <w:lang w:val="fa-IR"/>
        </w:rPr>
        <w:t xml:space="preserve"> «خداوند سبیلی برای کفّار نسبت به مؤمنین قرار نداده است.»</w:t>
      </w:r>
    </w:p>
    <w:p>
      <w:pP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4"/>
      </w:r>
    </w:p>
    <w:p>
      <w:pPr>
        <w:pStyle w:val="Heading2"/>
      </w:pPr>
      <w:r>
        <w:rPr>
          <w:rtl w:val="0"/>
          <w:lang w:val="fa-IR"/>
        </w:rPr>
        <w:t xml:space="preserve">لزوم دفاع و حمایت از حق</w:t>
      </w:r>
    </w:p>
    <w:p>
      <w:pP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5"/>
      </w:r>
      <w:r>
        <w:rPr>
          <w:rtl w:val="0"/>
          <w:lang w:val="fa-IR"/>
        </w:rPr>
        <w:t xml:space="preserve"> ـ هیچ فایده‌ای به حال او نخواهد داشت؛</w:t>
      </w:r>
      <w:r>
        <w:rPr>
          <w:rStyle w:val="FootnoteReference"/>
        </w:rPr>
        <w:footnoteReference w:id="6"/>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ما در روز عید فطر در خطبه‌هایی که خواندیم راجع به این موضوع مفصّل بحث کردیم</w:t>
      </w:r>
      <w:r>
        <w:rPr>
          <w:rStyle w:val="FootnoteReference"/>
        </w:rPr>
        <w:footnoteReference w:id="7"/>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8"/>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9"/>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10"/>
      </w:r>
      <w:r>
        <w:rPr>
          <w:rtl w:val="0"/>
          <w:lang w:val="fa-IR"/>
        </w:rPr>
        <w:t xml:space="preserve"> «تا آن هنگامی که ما را به زبان خود یاری می‌کنی!»</w:t>
      </w:r>
    </w:p>
    <w:p>
      <w:pP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11"/>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12"/>
      </w:r>
    </w:p>
    <w:p>
      <w:pP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13"/>
      </w:r>
    </w:p>
    <w:p>
      <w:pP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14"/>
      </w:r>
      <w:r>
        <w:rPr>
          <w:rtl w:val="0"/>
          <w:lang w:val="fa-IR"/>
        </w:rPr>
        <w:t xml:space="preserve"> ولی این شخص بعد از رحلت رسول خدا با امیرالمؤمنین بیعت نکرد،</w:t>
      </w:r>
      <w:r>
        <w:rPr>
          <w:rStyle w:val="FootnoteReference"/>
        </w:rPr>
        <w:footnoteReference w:id="15"/>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16"/>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17"/>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18"/>
      </w:r>
    </w:p>
    <w:p>
      <w:pP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r>
        <w:rPr>
          <w:rtl w:val="0"/>
          <w:lang w:val="fa-IR"/>
        </w:rPr>
        <w:t xml:space="preserve">گفت: «آن سه فضیلت چیست؟»</w:t>
      </w:r>
    </w:p>
    <w:p>
      <w:pP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 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19"/>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20"/>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 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21"/>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 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22"/>
      </w:r>
    </w:p>
    <w:p>
      <w:pP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23"/>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24"/>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25"/>
      </w:r>
      <w:r>
        <w:rPr>
          <w:rtl w:val="0"/>
          <w:lang w:val="fa-IR"/>
        </w:rPr>
        <w:t xml:space="preserve"> اینها برای احتیاط‌کاری بود!</w:t>
      </w:r>
    </w:p>
    <w:p>
      <w:pP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26"/>
      </w:r>
    </w:p>
    <w:p>
      <w:pPr>
        <w:pStyle w:val="Heading2"/>
      </w:pPr>
      <w:r>
        <w:rPr>
          <w:rtl w:val="0"/>
          <w:lang w:val="fa-IR"/>
        </w:rPr>
        <w:t xml:space="preserve">اعتراض منتصر عبّاسی به هتک حرمت نمودن پدرش متوکّل نسبت به اهل‌بیت علیهم السّلام</w:t>
      </w:r>
    </w:p>
    <w:p>
      <w:pP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27"/>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 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28"/>
      </w:r>
    </w:p>
    <w:p>
      <w:pP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29"/>
      </w:r>
    </w:p>
    <w:p>
      <w:pP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30"/>
      </w:r>
    </w:p>
    <w:p>
      <w:pP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31"/>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32"/>
      </w:r>
    </w:p>
    <w:p>
      <w:pPr>
        <w:pStyle w:val="NormalA++"/>
      </w:pP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33"/>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34"/>
      </w:r>
      <w:r>
        <w:rPr>
          <w:rtl w:val="0"/>
          <w:lang w:val="fa-IR"/>
        </w:rPr>
        <w:t xml:space="preserve"> هم تندی غلط است و هم کندی غلط است؛ اصحاب امیرالمؤمنین علیه السّلام نَمَط أوسط بودند.</w:t>
      </w:r>
    </w:p>
    <w:p>
      <w:pP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35"/>
      </w:r>
    </w:p>
    <w:p>
      <w:pP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١٤٤.</w:t>
      </w:r>
    </w:p>
  </w:footnote>
  <w:footnote w:id="2">
    <w:p>
      <w:pPr>
        <w:pStyle w:val="FootnoteText"/>
      </w:pPr>
      <w:r>
        <w:rPr>
          <w:rStyle w:val="FootnoteReference"/>
        </w:rPr>
        <w:footnoteRef/>
      </w:r>
      <w:r>
        <w:t xml:space="preserve"> </w:t>
      </w:r>
      <w:r>
        <w:rPr>
          <w:rtl w:val="0"/>
          <w:lang w:val="fa-IR"/>
        </w:rPr>
        <w:footnoteRef/>
        <w:t xml:space="preserve">سوره آل عمران (٣) آیه ١١٨.</w:t>
      </w:r>
    </w:p>
  </w:footnote>
  <w:footnote w:id="3">
    <w:p>
      <w:pPr>
        <w:pStyle w:val="FootnoteText"/>
      </w:pPr>
      <w:r>
        <w:rPr>
          <w:rStyle w:val="FootnoteReference"/>
        </w:rPr>
        <w:footnoteRef/>
      </w:r>
      <w:r>
        <w:t xml:space="preserve"> </w:t>
      </w:r>
      <w:r>
        <w:rPr>
          <w:rtl w:val="0"/>
          <w:lang w:val="fa-IR"/>
        </w:rPr>
        <w:footnoteRef/>
        <w:t xml:space="preserve">سوره نساء (٤) آیه ١٤١.</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5">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6">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7">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8">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9">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1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11">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12">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13">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14">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1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16">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1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1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2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21">
    <w:p>
      <w:pPr>
        <w:pStyle w:val="FootnoteText"/>
      </w:pPr>
      <w:r>
        <w:rPr>
          <w:rStyle w:val="FootnoteReference"/>
        </w:rPr>
        <w:footnoteRef/>
      </w:r>
      <w:r>
        <w:t xml:space="preserve"> </w:t>
      </w:r>
      <w:r>
        <w:rPr>
          <w:rtl w:val="0"/>
          <w:lang w:val="fa-IR"/>
        </w:rPr>
        <w:t xml:space="preserve">سوره حجرات (٤٩) آیه ٩.</w:t>
      </w:r>
    </w:p>
  </w:footnote>
  <w:footnote w:id="2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23">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2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2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27">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28">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2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30">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3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33">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3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3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